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97" w:rsidRDefault="00AC48AE" w:rsidP="00475497">
      <w:pPr>
        <w:pStyle w:val="NoSpacing"/>
        <w:rPr>
          <w:rStyle w:val="fontstyle01"/>
        </w:rPr>
      </w:pPr>
      <w:r>
        <w:rPr>
          <w:b/>
          <w:noProof/>
          <w:color w:val="00000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133350</wp:posOffset>
            </wp:positionV>
            <wp:extent cx="1362075" cy="923925"/>
            <wp:effectExtent l="0" t="0" r="9525" b="9525"/>
            <wp:wrapTopAndBottom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3FE" w:rsidRPr="00475497" w:rsidRDefault="008A3290" w:rsidP="00475497">
      <w:pPr>
        <w:jc w:val="center"/>
        <w:rPr>
          <w:rStyle w:val="fontstyle01"/>
        </w:rPr>
      </w:pPr>
      <w:r w:rsidRPr="00475497">
        <w:rPr>
          <w:rStyle w:val="fontstyle01"/>
        </w:rPr>
        <w:t>Office of Sponsored Programs</w:t>
      </w:r>
      <w:r w:rsidR="00AC48AE">
        <w:rPr>
          <w:rStyle w:val="fontstyle01"/>
        </w:rPr>
        <w:t xml:space="preserve"> and Foundation Relations</w:t>
      </w:r>
    </w:p>
    <w:p w:rsidR="00475497" w:rsidRDefault="00B07657" w:rsidP="00475497">
      <w:pPr>
        <w:pStyle w:val="NoSpacing"/>
        <w:jc w:val="center"/>
        <w:rPr>
          <w:rStyle w:val="fontstyle01"/>
        </w:rPr>
      </w:pPr>
      <w:r w:rsidRPr="00475497">
        <w:rPr>
          <w:rStyle w:val="fontstyle01"/>
        </w:rPr>
        <w:t>P</w:t>
      </w:r>
      <w:r w:rsidR="00475497">
        <w:rPr>
          <w:rStyle w:val="fontstyle01"/>
        </w:rPr>
        <w:t xml:space="preserve">ROCESS MAP FOR THE APPROVAL OF RESEARCH PROTOCOLS </w:t>
      </w:r>
    </w:p>
    <w:p w:rsidR="00B07657" w:rsidRPr="00475497" w:rsidRDefault="00475497" w:rsidP="00475497">
      <w:pPr>
        <w:pStyle w:val="NoSpacing"/>
        <w:jc w:val="center"/>
        <w:rPr>
          <w:rStyle w:val="fontstyle01"/>
        </w:rPr>
      </w:pPr>
      <w:r>
        <w:rPr>
          <w:rStyle w:val="fontstyle01"/>
        </w:rPr>
        <w:t>FOR GRANT-FUNDED HUMAN SUBJECTS RESEARCH</w:t>
      </w:r>
    </w:p>
    <w:p w:rsidR="00475497" w:rsidRPr="00475497" w:rsidRDefault="00475497" w:rsidP="00475497">
      <w:pPr>
        <w:pStyle w:val="NoSpacing"/>
        <w:jc w:val="center"/>
        <w:rPr>
          <w:rStyle w:val="fontstyle01"/>
          <w:b w:val="0"/>
          <w:i/>
        </w:rPr>
      </w:pPr>
      <w:r w:rsidRPr="00475497">
        <w:rPr>
          <w:rStyle w:val="fontstyle01"/>
          <w:b w:val="0"/>
          <w:i/>
        </w:rPr>
        <w:t>Established August 2021</w:t>
      </w:r>
    </w:p>
    <w:p w:rsidR="00475497" w:rsidRPr="00475497" w:rsidRDefault="00475497" w:rsidP="00475497">
      <w:pPr>
        <w:pStyle w:val="NoSpacing"/>
        <w:jc w:val="center"/>
        <w:rPr>
          <w:rStyle w:val="fontstyle01"/>
          <w:b w:val="0"/>
          <w:i/>
        </w:rPr>
      </w:pPr>
      <w:r w:rsidRPr="00475497">
        <w:rPr>
          <w:rStyle w:val="fontstyle01"/>
          <w:b w:val="0"/>
          <w:i/>
        </w:rPr>
        <w:t>Next review: Fall 2023</w:t>
      </w:r>
    </w:p>
    <w:p w:rsidR="00B07657" w:rsidRDefault="00B07657">
      <w:pPr>
        <w:rPr>
          <w:rStyle w:val="fontstyle0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3290" w:rsidTr="001239BB">
        <w:tc>
          <w:tcPr>
            <w:tcW w:w="9350" w:type="dxa"/>
            <w:shd w:val="clear" w:color="auto" w:fill="DEEAF6" w:themeFill="accent1" w:themeFillTint="33"/>
          </w:tcPr>
          <w:p w:rsidR="008A3290" w:rsidRDefault="008A3290">
            <w:pPr>
              <w:rPr>
                <w:rStyle w:val="fontstyle01"/>
              </w:rPr>
            </w:pPr>
            <w:r>
              <w:rPr>
                <w:rStyle w:val="fontstyle01"/>
              </w:rPr>
              <w:t>Pre-Award Stage</w:t>
            </w:r>
            <w:r w:rsidR="00403982">
              <w:rPr>
                <w:rStyle w:val="fontstyle01"/>
              </w:rPr>
              <w:t xml:space="preserve"> (proposal stage)</w:t>
            </w:r>
          </w:p>
        </w:tc>
      </w:tr>
      <w:tr w:rsidR="008A3290" w:rsidTr="008A3290">
        <w:tc>
          <w:tcPr>
            <w:tcW w:w="9350" w:type="dxa"/>
          </w:tcPr>
          <w:p w:rsidR="008A3290" w:rsidRPr="008A3290" w:rsidRDefault="00215E54" w:rsidP="00AC48AE">
            <w:pPr>
              <w:rPr>
                <w:rStyle w:val="fontstyle01"/>
                <w:b w:val="0"/>
              </w:rPr>
            </w:pPr>
            <w:r>
              <w:rPr>
                <w:rFonts w:ascii="Arial-BoldMT" w:hAnsi="Arial-BoldMT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2901267</wp:posOffset>
                      </wp:positionH>
                      <wp:positionV relativeFrom="paragraph">
                        <wp:posOffset>483184</wp:posOffset>
                      </wp:positionV>
                      <wp:extent cx="0" cy="283611"/>
                      <wp:effectExtent l="76200" t="0" r="57150" b="5969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36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EC6B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28.45pt;margin-top:38.05pt;width:0;height:2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A3290">
              <w:rPr>
                <w:rStyle w:val="fontstyle01"/>
                <w:b w:val="0"/>
              </w:rPr>
              <w:t xml:space="preserve">If the grant project appears to include human </w:t>
            </w:r>
            <w:proofErr w:type="gramStart"/>
            <w:r w:rsidR="008A3290">
              <w:rPr>
                <w:rStyle w:val="fontstyle01"/>
                <w:b w:val="0"/>
              </w:rPr>
              <w:t>subject</w:t>
            </w:r>
            <w:r w:rsidR="00AE632D">
              <w:rPr>
                <w:rStyle w:val="fontstyle01"/>
                <w:b w:val="0"/>
              </w:rPr>
              <w:t>s</w:t>
            </w:r>
            <w:proofErr w:type="gramEnd"/>
            <w:r w:rsidR="008A3290">
              <w:rPr>
                <w:rStyle w:val="fontstyle01"/>
                <w:b w:val="0"/>
              </w:rPr>
              <w:t xml:space="preserve"> research, the </w:t>
            </w:r>
            <w:r w:rsidR="00AC48AE">
              <w:rPr>
                <w:rStyle w:val="fontstyle01"/>
                <w:b w:val="0"/>
              </w:rPr>
              <w:t>OSPFR</w:t>
            </w:r>
            <w:r w:rsidR="008A3290">
              <w:rPr>
                <w:rStyle w:val="fontstyle01"/>
                <w:b w:val="0"/>
              </w:rPr>
              <w:t xml:space="preserve"> will ask the PI/PD to </w:t>
            </w:r>
            <w:r w:rsidR="00475497">
              <w:rPr>
                <w:rStyle w:val="fontstyle01"/>
                <w:b w:val="0"/>
              </w:rPr>
              <w:t xml:space="preserve">discuss their project </w:t>
            </w:r>
            <w:r w:rsidR="008A3290">
              <w:rPr>
                <w:rStyle w:val="fontstyle01"/>
                <w:b w:val="0"/>
              </w:rPr>
              <w:t>with a member of the IRB committee informally to identify any red flags. A formal IRB application does not need to be submitted at this time.</w:t>
            </w:r>
          </w:p>
        </w:tc>
      </w:tr>
    </w:tbl>
    <w:p w:rsidR="008A3290" w:rsidRDefault="008A3290">
      <w:pPr>
        <w:rPr>
          <w:rStyle w:val="fontstyle0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3290" w:rsidTr="001239BB">
        <w:tc>
          <w:tcPr>
            <w:tcW w:w="9350" w:type="dxa"/>
            <w:shd w:val="clear" w:color="auto" w:fill="DEEAF6" w:themeFill="accent1" w:themeFillTint="33"/>
          </w:tcPr>
          <w:p w:rsidR="008A3290" w:rsidRDefault="008A3290" w:rsidP="00254749">
            <w:pPr>
              <w:rPr>
                <w:rStyle w:val="fontstyle01"/>
              </w:rPr>
            </w:pPr>
            <w:r>
              <w:rPr>
                <w:rStyle w:val="fontstyle01"/>
              </w:rPr>
              <w:t>Post-</w:t>
            </w:r>
            <w:r w:rsidR="008504F5">
              <w:rPr>
                <w:rStyle w:val="fontstyle01"/>
              </w:rPr>
              <w:t xml:space="preserve">Proposal </w:t>
            </w:r>
            <w:r>
              <w:rPr>
                <w:rStyle w:val="fontstyle01"/>
              </w:rPr>
              <w:t>Submission Stage</w:t>
            </w:r>
            <w:r w:rsidR="00403982">
              <w:rPr>
                <w:rStyle w:val="fontstyle01"/>
              </w:rPr>
              <w:t xml:space="preserve"> </w:t>
            </w:r>
          </w:p>
        </w:tc>
      </w:tr>
      <w:tr w:rsidR="008A3290" w:rsidTr="00254749">
        <w:tc>
          <w:tcPr>
            <w:tcW w:w="9350" w:type="dxa"/>
          </w:tcPr>
          <w:p w:rsidR="008A3290" w:rsidRPr="008A3290" w:rsidRDefault="00215E54" w:rsidP="00AC48AE">
            <w:pPr>
              <w:rPr>
                <w:rStyle w:val="fontstyle01"/>
                <w:b w:val="0"/>
              </w:rPr>
            </w:pPr>
            <w:r>
              <w:rPr>
                <w:rFonts w:ascii="Arial-BoldMT" w:hAnsi="Arial-BoldMT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280035</wp:posOffset>
                      </wp:positionV>
                      <wp:extent cx="1222" cy="342900"/>
                      <wp:effectExtent l="76200" t="0" r="75565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2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63D3E" id="Straight Arrow Connector 2" o:spid="_x0000_s1026" type="#_x0000_t32" style="position:absolute;margin-left:228.35pt;margin-top:22.05pt;width:.1pt;height:2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A3290">
              <w:rPr>
                <w:rStyle w:val="fontstyle01"/>
                <w:b w:val="0"/>
              </w:rPr>
              <w:t xml:space="preserve">If the grant project includes human </w:t>
            </w:r>
            <w:proofErr w:type="gramStart"/>
            <w:r w:rsidR="008A3290">
              <w:rPr>
                <w:rStyle w:val="fontstyle01"/>
                <w:b w:val="0"/>
              </w:rPr>
              <w:t>subject</w:t>
            </w:r>
            <w:r w:rsidR="00AE632D">
              <w:rPr>
                <w:rStyle w:val="fontstyle01"/>
                <w:b w:val="0"/>
              </w:rPr>
              <w:t>s</w:t>
            </w:r>
            <w:proofErr w:type="gramEnd"/>
            <w:r w:rsidR="008A3290">
              <w:rPr>
                <w:rStyle w:val="fontstyle01"/>
                <w:b w:val="0"/>
              </w:rPr>
              <w:t xml:space="preserve"> research, the </w:t>
            </w:r>
            <w:r w:rsidR="00AC48AE">
              <w:rPr>
                <w:rStyle w:val="fontstyle01"/>
                <w:b w:val="0"/>
              </w:rPr>
              <w:t>OSPFR</w:t>
            </w:r>
            <w:r w:rsidR="008A3290">
              <w:rPr>
                <w:rStyle w:val="fontstyle01"/>
                <w:b w:val="0"/>
              </w:rPr>
              <w:t xml:space="preserve"> will encourage the PI/PD to start preparing their IRB application</w:t>
            </w:r>
            <w:r w:rsidR="00475497">
              <w:rPr>
                <w:rStyle w:val="fontstyle01"/>
                <w:b w:val="0"/>
              </w:rPr>
              <w:t xml:space="preserve"> after their grant proposal has been submitted</w:t>
            </w:r>
            <w:r w:rsidR="008A3290">
              <w:rPr>
                <w:rStyle w:val="fontstyle01"/>
                <w:b w:val="0"/>
              </w:rPr>
              <w:t xml:space="preserve">.  </w:t>
            </w:r>
          </w:p>
        </w:tc>
      </w:tr>
    </w:tbl>
    <w:p w:rsidR="008A3290" w:rsidRDefault="008A3290">
      <w:pPr>
        <w:rPr>
          <w:rStyle w:val="fontstyle0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3290" w:rsidTr="001239BB">
        <w:tc>
          <w:tcPr>
            <w:tcW w:w="9350" w:type="dxa"/>
            <w:shd w:val="clear" w:color="auto" w:fill="DEEAF6" w:themeFill="accent1" w:themeFillTint="33"/>
          </w:tcPr>
          <w:p w:rsidR="008A3290" w:rsidRDefault="008A3290" w:rsidP="00254749">
            <w:pPr>
              <w:rPr>
                <w:rStyle w:val="fontstyle01"/>
              </w:rPr>
            </w:pPr>
            <w:r>
              <w:rPr>
                <w:rStyle w:val="fontstyle01"/>
              </w:rPr>
              <w:t>Award Negotiation Stage</w:t>
            </w:r>
            <w:r w:rsidR="00403982">
              <w:rPr>
                <w:rStyle w:val="fontstyle01"/>
              </w:rPr>
              <w:t xml:space="preserve"> (onset of award)</w:t>
            </w:r>
          </w:p>
        </w:tc>
      </w:tr>
      <w:tr w:rsidR="008A3290" w:rsidTr="00254749">
        <w:tc>
          <w:tcPr>
            <w:tcW w:w="9350" w:type="dxa"/>
          </w:tcPr>
          <w:p w:rsidR="008A3290" w:rsidRPr="008A3290" w:rsidRDefault="008A3290" w:rsidP="008504F5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If a grant involving human subject</w:t>
            </w:r>
            <w:r w:rsidR="00AE632D">
              <w:rPr>
                <w:rStyle w:val="fontstyle01"/>
                <w:b w:val="0"/>
              </w:rPr>
              <w:t>s</w:t>
            </w:r>
            <w:r>
              <w:rPr>
                <w:rStyle w:val="fontstyle01"/>
                <w:b w:val="0"/>
              </w:rPr>
              <w:t xml:space="preserve"> research is re</w:t>
            </w:r>
            <w:r w:rsidR="008504F5">
              <w:rPr>
                <w:rStyle w:val="fontstyle01"/>
                <w:b w:val="0"/>
              </w:rPr>
              <w:t>commended for an award</w:t>
            </w:r>
            <w:r>
              <w:rPr>
                <w:rStyle w:val="fontstyle01"/>
                <w:b w:val="0"/>
              </w:rPr>
              <w:t xml:space="preserve"> by the funding agency, the PI/PD will submit </w:t>
            </w:r>
            <w:r w:rsidR="00475497">
              <w:rPr>
                <w:rStyle w:val="fontstyle01"/>
                <w:b w:val="0"/>
              </w:rPr>
              <w:t xml:space="preserve">a formal </w:t>
            </w:r>
            <w:r>
              <w:rPr>
                <w:rStyle w:val="fontstyle01"/>
                <w:b w:val="0"/>
              </w:rPr>
              <w:t xml:space="preserve">application to the IRB committee. </w:t>
            </w:r>
            <w:r w:rsidR="008504F5">
              <w:rPr>
                <w:rStyle w:val="fontstyle01"/>
                <w:b w:val="0"/>
              </w:rPr>
              <w:t xml:space="preserve">The PI/PD must specify in their application that the </w:t>
            </w:r>
            <w:r>
              <w:rPr>
                <w:rStyle w:val="fontstyle01"/>
                <w:b w:val="0"/>
              </w:rPr>
              <w:t xml:space="preserve">proposed research will be grant-funded.  </w:t>
            </w:r>
          </w:p>
        </w:tc>
      </w:tr>
      <w:tr w:rsidR="00403982" w:rsidTr="00254749">
        <w:tc>
          <w:tcPr>
            <w:tcW w:w="9350" w:type="dxa"/>
          </w:tcPr>
          <w:p w:rsidR="00403982" w:rsidRDefault="00403982" w:rsidP="00AC48AE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 xml:space="preserve">The IRB Committee will send their approval </w:t>
            </w:r>
            <w:r w:rsidR="008504F5">
              <w:rPr>
                <w:rStyle w:val="fontstyle01"/>
                <w:b w:val="0"/>
              </w:rPr>
              <w:t xml:space="preserve">or rejection </w:t>
            </w:r>
            <w:r>
              <w:rPr>
                <w:rStyle w:val="fontstyle01"/>
                <w:b w:val="0"/>
              </w:rPr>
              <w:t xml:space="preserve">letter to both the PI/PD and the </w:t>
            </w:r>
            <w:r w:rsidR="00AC48AE">
              <w:rPr>
                <w:rStyle w:val="fontstyle01"/>
                <w:b w:val="0"/>
              </w:rPr>
              <w:t>OSP</w:t>
            </w:r>
            <w:bookmarkStart w:id="0" w:name="_GoBack"/>
            <w:bookmarkEnd w:id="0"/>
            <w:r w:rsidR="00AC48AE">
              <w:rPr>
                <w:rStyle w:val="fontstyle01"/>
                <w:b w:val="0"/>
              </w:rPr>
              <w:t>FR</w:t>
            </w:r>
            <w:r>
              <w:rPr>
                <w:rStyle w:val="fontstyle01"/>
                <w:b w:val="0"/>
              </w:rPr>
              <w:t>.</w:t>
            </w:r>
          </w:p>
        </w:tc>
      </w:tr>
      <w:tr w:rsidR="00403982" w:rsidTr="00254749">
        <w:tc>
          <w:tcPr>
            <w:tcW w:w="9350" w:type="dxa"/>
          </w:tcPr>
          <w:p w:rsidR="00403982" w:rsidRDefault="00403982" w:rsidP="00FB0327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 xml:space="preserve">The </w:t>
            </w:r>
            <w:r w:rsidR="00AC48AE">
              <w:rPr>
                <w:rStyle w:val="fontstyle01"/>
                <w:b w:val="0"/>
              </w:rPr>
              <w:t>OSPFR</w:t>
            </w:r>
            <w:r>
              <w:rPr>
                <w:rStyle w:val="fontstyle01"/>
                <w:b w:val="0"/>
              </w:rPr>
              <w:t xml:space="preserve"> will forward the IRB approval number to the funding agency.</w:t>
            </w:r>
            <w:r w:rsidR="008504F5">
              <w:rPr>
                <w:rStyle w:val="fontstyle01"/>
                <w:b w:val="0"/>
              </w:rPr>
              <w:t xml:space="preserve"> If the IRB does not approve the research</w:t>
            </w:r>
            <w:r w:rsidR="00FB0327">
              <w:rPr>
                <w:rStyle w:val="fontstyle01"/>
                <w:b w:val="0"/>
              </w:rPr>
              <w:t xml:space="preserve"> protocol, the </w:t>
            </w:r>
            <w:r w:rsidR="00AC48AE">
              <w:rPr>
                <w:rStyle w:val="fontstyle01"/>
                <w:b w:val="0"/>
              </w:rPr>
              <w:t>OSPFR</w:t>
            </w:r>
            <w:r w:rsidR="00FB0327">
              <w:rPr>
                <w:rStyle w:val="fontstyle01"/>
                <w:b w:val="0"/>
              </w:rPr>
              <w:t xml:space="preserve"> will </w:t>
            </w:r>
            <w:r w:rsidR="008504F5">
              <w:rPr>
                <w:rStyle w:val="fontstyle01"/>
                <w:b w:val="0"/>
              </w:rPr>
              <w:t>inform the funding agency</w:t>
            </w:r>
            <w:r w:rsidR="00FB0327">
              <w:rPr>
                <w:rStyle w:val="fontstyle01"/>
                <w:b w:val="0"/>
              </w:rPr>
              <w:t xml:space="preserve"> and likely the award may not be issued. </w:t>
            </w:r>
          </w:p>
        </w:tc>
      </w:tr>
    </w:tbl>
    <w:p w:rsidR="008A3290" w:rsidRDefault="00215E54">
      <w:pPr>
        <w:rPr>
          <w:rStyle w:val="fontstyle01"/>
        </w:rPr>
      </w:pPr>
      <w:r>
        <w:rPr>
          <w:rFonts w:ascii="Arial-BoldMT" w:hAnsi="Arial-BoldMT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2973022</wp:posOffset>
                </wp:positionH>
                <wp:positionV relativeFrom="paragraph">
                  <wp:posOffset>6887</wp:posOffset>
                </wp:positionV>
                <wp:extent cx="635" cy="264051"/>
                <wp:effectExtent l="76200" t="0" r="75565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40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1ACBB" id="Straight Arrow Connector 7" o:spid="_x0000_s1026" type="#_x0000_t32" style="position:absolute;margin-left:234.1pt;margin-top:.55pt;width:.05pt;height:2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3982" w:rsidTr="001239BB">
        <w:tc>
          <w:tcPr>
            <w:tcW w:w="9350" w:type="dxa"/>
            <w:shd w:val="clear" w:color="auto" w:fill="DEEAF6" w:themeFill="accent1" w:themeFillTint="33"/>
          </w:tcPr>
          <w:p w:rsidR="00403982" w:rsidRDefault="00403982" w:rsidP="00403982">
            <w:pPr>
              <w:rPr>
                <w:rStyle w:val="fontstyle01"/>
              </w:rPr>
            </w:pPr>
            <w:r>
              <w:rPr>
                <w:rStyle w:val="fontstyle01"/>
              </w:rPr>
              <w:t>Post-Award Stage</w:t>
            </w:r>
          </w:p>
        </w:tc>
      </w:tr>
      <w:tr w:rsidR="00403982" w:rsidTr="00254749">
        <w:tc>
          <w:tcPr>
            <w:tcW w:w="9350" w:type="dxa"/>
          </w:tcPr>
          <w:p w:rsidR="00403982" w:rsidRPr="008A3290" w:rsidRDefault="00403982" w:rsidP="00FB0327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 xml:space="preserve">The PI/PD is required to ensure that their IRB approval remains active throughout the course of their human </w:t>
            </w:r>
            <w:proofErr w:type="gramStart"/>
            <w:r>
              <w:rPr>
                <w:rStyle w:val="fontstyle01"/>
                <w:b w:val="0"/>
              </w:rPr>
              <w:t>subject</w:t>
            </w:r>
            <w:r w:rsidR="00AE632D">
              <w:rPr>
                <w:rStyle w:val="fontstyle01"/>
                <w:b w:val="0"/>
              </w:rPr>
              <w:t>s</w:t>
            </w:r>
            <w:proofErr w:type="gramEnd"/>
            <w:r>
              <w:rPr>
                <w:rStyle w:val="fontstyle01"/>
                <w:b w:val="0"/>
              </w:rPr>
              <w:t xml:space="preserve"> research.  </w:t>
            </w:r>
            <w:r w:rsidR="001239BB">
              <w:rPr>
                <w:rStyle w:val="fontstyle01"/>
                <w:b w:val="0"/>
              </w:rPr>
              <w:t xml:space="preserve">If their research protocol </w:t>
            </w:r>
            <w:r w:rsidR="00FB0327">
              <w:rPr>
                <w:rStyle w:val="fontstyle01"/>
                <w:b w:val="0"/>
              </w:rPr>
              <w:t xml:space="preserve">has changed, they will need to inform </w:t>
            </w:r>
            <w:r w:rsidR="001239BB">
              <w:rPr>
                <w:rStyle w:val="fontstyle01"/>
                <w:b w:val="0"/>
              </w:rPr>
              <w:t xml:space="preserve">the IRB.  </w:t>
            </w:r>
            <w:r>
              <w:rPr>
                <w:rStyle w:val="fontstyle01"/>
                <w:b w:val="0"/>
              </w:rPr>
              <w:t>The Grant Coordinator for Sponsored Programs will remind the PI/PD of this requirement during quarterly check-in meetings</w:t>
            </w:r>
            <w:r w:rsidR="00FB0327">
              <w:rPr>
                <w:rStyle w:val="fontstyle01"/>
                <w:b w:val="0"/>
              </w:rPr>
              <w:t xml:space="preserve"> throughout the award period</w:t>
            </w:r>
            <w:r w:rsidR="00475497">
              <w:rPr>
                <w:rStyle w:val="fontstyle01"/>
                <w:b w:val="0"/>
              </w:rPr>
              <w:t>.</w:t>
            </w:r>
          </w:p>
        </w:tc>
      </w:tr>
      <w:tr w:rsidR="001239BB" w:rsidTr="00254749">
        <w:tc>
          <w:tcPr>
            <w:tcW w:w="9350" w:type="dxa"/>
          </w:tcPr>
          <w:p w:rsidR="001239BB" w:rsidRDefault="001239BB" w:rsidP="00403982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 xml:space="preserve">If the IRB approval is renewed, the IRB Committee will forward the </w:t>
            </w:r>
            <w:r w:rsidR="00475497">
              <w:rPr>
                <w:rStyle w:val="fontstyle01"/>
                <w:b w:val="0"/>
              </w:rPr>
              <w:t xml:space="preserve">new </w:t>
            </w:r>
            <w:r>
              <w:rPr>
                <w:rStyle w:val="fontstyle01"/>
                <w:b w:val="0"/>
              </w:rPr>
              <w:t xml:space="preserve">approval letter to both the PI/PD and the </w:t>
            </w:r>
            <w:r w:rsidR="00AC48AE">
              <w:rPr>
                <w:rStyle w:val="fontstyle01"/>
                <w:b w:val="0"/>
              </w:rPr>
              <w:t>OSPFR</w:t>
            </w:r>
            <w:r>
              <w:rPr>
                <w:rStyle w:val="fontstyle01"/>
                <w:b w:val="0"/>
              </w:rPr>
              <w:t>.</w:t>
            </w:r>
          </w:p>
        </w:tc>
      </w:tr>
    </w:tbl>
    <w:p w:rsidR="00403982" w:rsidRDefault="00403982">
      <w:pPr>
        <w:rPr>
          <w:rStyle w:val="fontstyle01"/>
        </w:rPr>
      </w:pPr>
    </w:p>
    <w:p w:rsidR="008A3290" w:rsidRDefault="008A3290">
      <w:pPr>
        <w:rPr>
          <w:rStyle w:val="fontstyle01"/>
        </w:rPr>
      </w:pPr>
    </w:p>
    <w:sectPr w:rsidR="008A3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57"/>
    <w:rsid w:val="001239BB"/>
    <w:rsid w:val="00215E54"/>
    <w:rsid w:val="00403982"/>
    <w:rsid w:val="00475497"/>
    <w:rsid w:val="005233FE"/>
    <w:rsid w:val="007D1BB7"/>
    <w:rsid w:val="008504F5"/>
    <w:rsid w:val="008A3290"/>
    <w:rsid w:val="00A16B77"/>
    <w:rsid w:val="00AC48AE"/>
    <w:rsid w:val="00AE632D"/>
    <w:rsid w:val="00B07657"/>
    <w:rsid w:val="00B60659"/>
    <w:rsid w:val="00F705DA"/>
    <w:rsid w:val="00F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CB64"/>
  <w15:chartTrackingRefBased/>
  <w15:docId w15:val="{25020656-4B5A-431D-A9DD-3B597D0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0765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8A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Temperley, Maya</dc:creator>
  <cp:keywords/>
  <dc:description/>
  <cp:lastModifiedBy>Clayton, Nicole A</cp:lastModifiedBy>
  <cp:revision>2</cp:revision>
  <dcterms:created xsi:type="dcterms:W3CDTF">2022-09-30T15:17:00Z</dcterms:created>
  <dcterms:modified xsi:type="dcterms:W3CDTF">2022-09-30T15:17:00Z</dcterms:modified>
</cp:coreProperties>
</file>