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493" w:rsidRDefault="00A70493" w:rsidP="007C759A">
      <w:pPr>
        <w:pStyle w:val="NoSpacing"/>
        <w:rPr>
          <w:color w:val="FF0000"/>
        </w:rPr>
      </w:pPr>
    </w:p>
    <w:p w:rsidR="00A70493" w:rsidRDefault="00862C12" w:rsidP="00A70493">
      <w:pPr>
        <w:spacing w:after="0" w:line="240" w:lineRule="auto"/>
        <w:jc w:val="center"/>
        <w:rPr>
          <w:rFonts w:ascii="Book Antiqua" w:hAnsi="Book Antiqua"/>
          <w:b/>
          <w:u w:val="single"/>
        </w:rPr>
      </w:pPr>
      <w:r>
        <w:rPr>
          <w:b/>
          <w:noProof/>
          <w:color w:val="000000"/>
          <w:szCs w:val="24"/>
        </w:rPr>
        <w:drawing>
          <wp:inline distT="0" distB="0" distL="0" distR="0" wp14:anchorId="78597E6D" wp14:editId="1C541BA7">
            <wp:extent cx="1718734" cy="113388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18734" cy="1133887"/>
                    </a:xfrm>
                    <a:prstGeom prst="rect">
                      <a:avLst/>
                    </a:prstGeom>
                    <a:ln/>
                  </pic:spPr>
                </pic:pic>
              </a:graphicData>
            </a:graphic>
          </wp:inline>
        </w:drawing>
      </w:r>
    </w:p>
    <w:p w:rsidR="00A70493" w:rsidRDefault="00A70493" w:rsidP="00A70493">
      <w:pPr>
        <w:pStyle w:val="Heading1"/>
        <w:spacing w:before="0"/>
        <w:ind w:right="72"/>
        <w:jc w:val="center"/>
        <w:rPr>
          <w:rFonts w:ascii="Book Antiqua" w:hAnsi="Book Antiqua"/>
          <w:color w:val="auto"/>
          <w:sz w:val="22"/>
        </w:rPr>
      </w:pPr>
    </w:p>
    <w:p w:rsidR="00A70493" w:rsidRPr="001104AB" w:rsidRDefault="00A70493" w:rsidP="00A70493">
      <w:pPr>
        <w:pStyle w:val="Heading1"/>
        <w:spacing w:before="0"/>
        <w:ind w:right="72"/>
        <w:jc w:val="center"/>
        <w:rPr>
          <w:rFonts w:ascii="Book Antiqua" w:hAnsi="Book Antiqua"/>
          <w:color w:val="auto"/>
          <w:sz w:val="22"/>
        </w:rPr>
      </w:pPr>
      <w:r w:rsidRPr="001104AB">
        <w:rPr>
          <w:rFonts w:ascii="Book Antiqua" w:hAnsi="Book Antiqua"/>
          <w:color w:val="auto"/>
          <w:sz w:val="22"/>
        </w:rPr>
        <w:t>Office of Sponsored Programs</w:t>
      </w:r>
      <w:r w:rsidR="00862C12">
        <w:rPr>
          <w:rFonts w:ascii="Book Antiqua" w:hAnsi="Book Antiqua"/>
          <w:color w:val="auto"/>
          <w:sz w:val="22"/>
        </w:rPr>
        <w:t xml:space="preserve"> and Foundation Relations</w:t>
      </w:r>
    </w:p>
    <w:p w:rsidR="00A70493" w:rsidRPr="001104AB" w:rsidRDefault="00EE4345" w:rsidP="002230AF">
      <w:pPr>
        <w:pStyle w:val="NoSpacing"/>
        <w:jc w:val="center"/>
        <w:rPr>
          <w:b/>
        </w:rPr>
      </w:pPr>
      <w:r w:rsidRPr="001104AB">
        <w:rPr>
          <w:b/>
        </w:rPr>
        <w:t>POST-AWARD</w:t>
      </w:r>
      <w:r w:rsidR="00A70493" w:rsidRPr="001104AB">
        <w:rPr>
          <w:b/>
        </w:rPr>
        <w:t xml:space="preserve"> RESPONSIBILITIES</w:t>
      </w:r>
      <w:r w:rsidRPr="001104AB">
        <w:rPr>
          <w:b/>
        </w:rPr>
        <w:t xml:space="preserve"> </w:t>
      </w:r>
      <w:r w:rsidR="00DE0E9D" w:rsidRPr="001104AB">
        <w:rPr>
          <w:b/>
        </w:rPr>
        <w:t>AGREEMENT</w:t>
      </w:r>
    </w:p>
    <w:p w:rsidR="009E415C" w:rsidRPr="001104AB" w:rsidRDefault="00145397" w:rsidP="009E415C">
      <w:pPr>
        <w:pStyle w:val="Heading1"/>
        <w:spacing w:before="0"/>
        <w:ind w:right="72"/>
        <w:jc w:val="center"/>
        <w:rPr>
          <w:rFonts w:ascii="Book Antiqua" w:hAnsi="Book Antiqua"/>
          <w:i/>
          <w:color w:val="auto"/>
          <w:sz w:val="22"/>
        </w:rPr>
      </w:pPr>
      <w:r w:rsidRPr="001104AB">
        <w:rPr>
          <w:rFonts w:ascii="Book Antiqua" w:hAnsi="Book Antiqua"/>
          <w:i/>
          <w:color w:val="auto"/>
          <w:sz w:val="22"/>
        </w:rPr>
        <w:t>Approved April</w:t>
      </w:r>
      <w:r w:rsidR="00231F0D" w:rsidRPr="001104AB">
        <w:rPr>
          <w:rFonts w:ascii="Book Antiqua" w:hAnsi="Book Antiqua"/>
          <w:i/>
          <w:color w:val="auto"/>
          <w:sz w:val="22"/>
        </w:rPr>
        <w:t xml:space="preserve"> </w:t>
      </w:r>
      <w:r w:rsidR="00A70493" w:rsidRPr="001104AB">
        <w:rPr>
          <w:rFonts w:ascii="Book Antiqua" w:hAnsi="Book Antiqua"/>
          <w:i/>
          <w:color w:val="auto"/>
          <w:sz w:val="22"/>
        </w:rPr>
        <w:t>2019</w:t>
      </w:r>
      <w:r w:rsidR="00EC1C0B">
        <w:rPr>
          <w:rFonts w:ascii="Book Antiqua" w:hAnsi="Book Antiqua"/>
          <w:i/>
          <w:color w:val="auto"/>
          <w:sz w:val="22"/>
        </w:rPr>
        <w:t>; updated June 2021, September 2021</w:t>
      </w:r>
    </w:p>
    <w:p w:rsidR="009E415C" w:rsidRPr="001104AB" w:rsidRDefault="00EC1C0B" w:rsidP="009E415C">
      <w:pPr>
        <w:jc w:val="center"/>
        <w:rPr>
          <w:rFonts w:ascii="Book Antiqua" w:hAnsi="Book Antiqua"/>
          <w:i/>
        </w:rPr>
      </w:pPr>
      <w:r>
        <w:rPr>
          <w:rFonts w:ascii="Book Antiqua" w:hAnsi="Book Antiqua"/>
          <w:i/>
        </w:rPr>
        <w:t>Next review: Fall 2023</w:t>
      </w:r>
    </w:p>
    <w:p w:rsidR="004E3467" w:rsidRPr="001104AB" w:rsidRDefault="004E3467" w:rsidP="007C759A">
      <w:pPr>
        <w:pStyle w:val="NoSpacing"/>
        <w:rPr>
          <w:b/>
        </w:rPr>
      </w:pPr>
    </w:p>
    <w:p w:rsidR="00B80CF3" w:rsidRPr="001104AB" w:rsidRDefault="00EE4345" w:rsidP="00BC39AE">
      <w:pPr>
        <w:pStyle w:val="CommentText"/>
        <w:rPr>
          <w:rFonts w:ascii="Book Antiqua" w:hAnsi="Book Antiqua"/>
          <w:sz w:val="22"/>
          <w:szCs w:val="22"/>
        </w:rPr>
      </w:pPr>
      <w:r w:rsidRPr="001104AB">
        <w:rPr>
          <w:rFonts w:ascii="Book Antiqua" w:hAnsi="Book Antiqua"/>
          <w:sz w:val="22"/>
          <w:szCs w:val="22"/>
        </w:rPr>
        <w:t xml:space="preserve">The Primary Investigator (PI)/Project Director (PD) </w:t>
      </w:r>
      <w:r w:rsidR="00BC39AE" w:rsidRPr="001104AB">
        <w:rPr>
          <w:rFonts w:ascii="Book Antiqua" w:hAnsi="Book Antiqua"/>
          <w:sz w:val="22"/>
          <w:szCs w:val="22"/>
        </w:rPr>
        <w:t xml:space="preserve">is ultimately responsible for all aspects of the sponsored project, including programmatic and financial oversight. </w:t>
      </w:r>
      <w:r w:rsidR="00145397" w:rsidRPr="001104AB">
        <w:rPr>
          <w:rFonts w:ascii="Book Antiqua" w:hAnsi="Book Antiqua"/>
          <w:sz w:val="22"/>
          <w:szCs w:val="22"/>
        </w:rPr>
        <w:t>In this document, PI will refer to both PIs and PDs.</w:t>
      </w:r>
      <w:r w:rsidR="00B80CF3" w:rsidRPr="001104AB">
        <w:rPr>
          <w:rFonts w:ascii="Book Antiqua" w:hAnsi="Book Antiqua"/>
          <w:sz w:val="22"/>
          <w:szCs w:val="22"/>
        </w:rPr>
        <w:t xml:space="preserve"> </w:t>
      </w:r>
    </w:p>
    <w:p w:rsidR="00A357D9" w:rsidRPr="001104AB" w:rsidRDefault="00145397" w:rsidP="002230AF">
      <w:pPr>
        <w:rPr>
          <w:rFonts w:ascii="Book Antiqua" w:hAnsi="Book Antiqua"/>
        </w:rPr>
      </w:pPr>
      <w:r w:rsidRPr="001104AB">
        <w:rPr>
          <w:rFonts w:ascii="Book Antiqua" w:hAnsi="Book Antiqua"/>
        </w:rPr>
        <w:t>T</w:t>
      </w:r>
      <w:r w:rsidR="00A357D9" w:rsidRPr="001104AB">
        <w:rPr>
          <w:rFonts w:ascii="Book Antiqua" w:hAnsi="Book Antiqua"/>
        </w:rPr>
        <w:t>he O</w:t>
      </w:r>
      <w:r w:rsidR="00B72BB5" w:rsidRPr="001104AB">
        <w:rPr>
          <w:rFonts w:ascii="Book Antiqua" w:hAnsi="Book Antiqua"/>
        </w:rPr>
        <w:t xml:space="preserve">ffice of Sponsored Programs </w:t>
      </w:r>
      <w:r w:rsidR="00862C12">
        <w:rPr>
          <w:rFonts w:ascii="Book Antiqua" w:hAnsi="Book Antiqua"/>
        </w:rPr>
        <w:t xml:space="preserve">and Foundation Relations </w:t>
      </w:r>
      <w:r w:rsidR="00B72BB5" w:rsidRPr="001104AB">
        <w:rPr>
          <w:rFonts w:ascii="Book Antiqua" w:hAnsi="Book Antiqua"/>
        </w:rPr>
        <w:t>(O</w:t>
      </w:r>
      <w:r w:rsidR="00A357D9" w:rsidRPr="001104AB">
        <w:rPr>
          <w:rFonts w:ascii="Book Antiqua" w:hAnsi="Book Antiqua"/>
        </w:rPr>
        <w:t>SP</w:t>
      </w:r>
      <w:r w:rsidR="00862C12">
        <w:rPr>
          <w:rFonts w:ascii="Book Antiqua" w:hAnsi="Book Antiqua"/>
        </w:rPr>
        <w:t>FR</w:t>
      </w:r>
      <w:r w:rsidR="00B72BB5" w:rsidRPr="001104AB">
        <w:rPr>
          <w:rFonts w:ascii="Book Antiqua" w:hAnsi="Book Antiqua"/>
        </w:rPr>
        <w:t>)</w:t>
      </w:r>
      <w:r w:rsidR="00A357D9" w:rsidRPr="001104AB">
        <w:rPr>
          <w:rFonts w:ascii="Book Antiqua" w:hAnsi="Book Antiqua"/>
        </w:rPr>
        <w:t xml:space="preserve"> </w:t>
      </w:r>
      <w:r w:rsidRPr="001104AB">
        <w:rPr>
          <w:rFonts w:ascii="Book Antiqua" w:hAnsi="Book Antiqua"/>
        </w:rPr>
        <w:t>will support the PI in</w:t>
      </w:r>
      <w:r w:rsidR="00A357D9" w:rsidRPr="001104AB">
        <w:rPr>
          <w:rFonts w:ascii="Book Antiqua" w:hAnsi="Book Antiqua"/>
        </w:rPr>
        <w:t xml:space="preserve"> all non-financial aspects of sponsored project management and reporting. </w:t>
      </w:r>
      <w:r w:rsidRPr="001104AB">
        <w:rPr>
          <w:rFonts w:ascii="Book Antiqua" w:hAnsi="Book Antiqua"/>
        </w:rPr>
        <w:t>The</w:t>
      </w:r>
      <w:r w:rsidR="00A357D9" w:rsidRPr="001104AB">
        <w:rPr>
          <w:rFonts w:ascii="Book Antiqua" w:hAnsi="Book Antiqua"/>
        </w:rPr>
        <w:t xml:space="preserve"> </w:t>
      </w:r>
      <w:r w:rsidR="00705389" w:rsidRPr="001104AB">
        <w:rPr>
          <w:rFonts w:ascii="Book Antiqua" w:hAnsi="Book Antiqua"/>
        </w:rPr>
        <w:t>Business Office</w:t>
      </w:r>
      <w:r w:rsidRPr="001104AB">
        <w:rPr>
          <w:rFonts w:ascii="Book Antiqua" w:hAnsi="Book Antiqua"/>
        </w:rPr>
        <w:t xml:space="preserve"> will support the PI in</w:t>
      </w:r>
      <w:r w:rsidR="00A357D9" w:rsidRPr="001104AB">
        <w:rPr>
          <w:rFonts w:ascii="Book Antiqua" w:hAnsi="Book Antiqua"/>
        </w:rPr>
        <w:t xml:space="preserve"> all financial aspects of sponsored program management and reporting.</w:t>
      </w:r>
    </w:p>
    <w:p w:rsidR="00B80CF3" w:rsidRPr="001104AB" w:rsidRDefault="00B80CF3" w:rsidP="007C759A">
      <w:pPr>
        <w:pStyle w:val="NoSpacing"/>
        <w:rPr>
          <w:rFonts w:eastAsia="Times New Roman" w:cs="Helvetica"/>
          <w:sz w:val="22"/>
          <w:szCs w:val="22"/>
        </w:rPr>
      </w:pPr>
      <w:r w:rsidRPr="001104AB">
        <w:rPr>
          <w:sz w:val="22"/>
          <w:szCs w:val="22"/>
        </w:rPr>
        <w:t xml:space="preserve">The primary responsibilities of the PI include Project Management, Budget Management, Personnel Management, Reporting, and </w:t>
      </w:r>
      <w:proofErr w:type="spellStart"/>
      <w:r w:rsidRPr="001104AB">
        <w:rPr>
          <w:sz w:val="22"/>
          <w:szCs w:val="22"/>
        </w:rPr>
        <w:t>Subaward</w:t>
      </w:r>
      <w:proofErr w:type="spellEnd"/>
      <w:r w:rsidRPr="001104AB">
        <w:rPr>
          <w:sz w:val="22"/>
          <w:szCs w:val="22"/>
        </w:rPr>
        <w:t xml:space="preserve"> Management (if applicable). </w:t>
      </w:r>
      <w:r w:rsidRPr="001104AB">
        <w:rPr>
          <w:rFonts w:eastAsia="Times New Roman" w:cs="Helvetica"/>
          <w:sz w:val="22"/>
          <w:szCs w:val="22"/>
        </w:rPr>
        <w:t xml:space="preserve">In addition to complying with the terms explained in the notice of award, it is the responsibility of the PI to meet any additional requirements depending on the funding source and type of award. </w:t>
      </w:r>
    </w:p>
    <w:p w:rsidR="00764B13" w:rsidRPr="001104AB" w:rsidRDefault="00764B13" w:rsidP="007C759A">
      <w:pPr>
        <w:pStyle w:val="NoSpacing"/>
        <w:rPr>
          <w:rFonts w:eastAsia="Times New Roman" w:cs="Helvetica"/>
          <w:sz w:val="22"/>
          <w:szCs w:val="22"/>
        </w:rPr>
      </w:pPr>
    </w:p>
    <w:p w:rsidR="00764B13" w:rsidRPr="001104AB" w:rsidRDefault="00764B13" w:rsidP="007C759A">
      <w:pPr>
        <w:pStyle w:val="NoSpacing"/>
        <w:rPr>
          <w:rFonts w:eastAsia="Times New Roman" w:cs="Helvetica"/>
          <w:sz w:val="22"/>
          <w:szCs w:val="22"/>
        </w:rPr>
      </w:pPr>
      <w:r w:rsidRPr="001104AB">
        <w:rPr>
          <w:rFonts w:eastAsia="Times New Roman" w:cs="Helvetica"/>
          <w:sz w:val="22"/>
          <w:szCs w:val="22"/>
        </w:rPr>
        <w:t>This document provides an overview of the PI’s post-award responsibilities.</w:t>
      </w:r>
    </w:p>
    <w:p w:rsidR="00CE3C55" w:rsidRPr="001104AB" w:rsidRDefault="00CE3C55" w:rsidP="007C759A">
      <w:pPr>
        <w:pStyle w:val="NoSpacing"/>
        <w:rPr>
          <w:rFonts w:eastAsia="Times New Roman" w:cs="Helvetica"/>
          <w:sz w:val="22"/>
          <w:szCs w:val="22"/>
        </w:rPr>
      </w:pPr>
    </w:p>
    <w:p w:rsidR="001004C1" w:rsidRPr="001104AB" w:rsidRDefault="00EE4345" w:rsidP="007C759A">
      <w:pPr>
        <w:pStyle w:val="NoSpacing"/>
        <w:pBdr>
          <w:bottom w:val="single" w:sz="6" w:space="1" w:color="auto"/>
        </w:pBdr>
        <w:rPr>
          <w:b/>
          <w:sz w:val="22"/>
          <w:szCs w:val="22"/>
        </w:rPr>
      </w:pPr>
      <w:r w:rsidRPr="001104AB">
        <w:rPr>
          <w:b/>
          <w:sz w:val="22"/>
          <w:szCs w:val="22"/>
        </w:rPr>
        <w:t>PROJECT MANAGEMENT</w:t>
      </w:r>
    </w:p>
    <w:p w:rsidR="003457F2" w:rsidRPr="001104AB" w:rsidRDefault="003457F2" w:rsidP="00A22EED">
      <w:pPr>
        <w:pStyle w:val="NoSpacing"/>
        <w:rPr>
          <w:b/>
        </w:rPr>
      </w:pPr>
    </w:p>
    <w:p w:rsidR="00B80CF3" w:rsidRPr="001104AB" w:rsidRDefault="00E205E3" w:rsidP="00A22EED">
      <w:pPr>
        <w:pStyle w:val="NoSpacing"/>
        <w:rPr>
          <w:b/>
        </w:rPr>
      </w:pPr>
      <w:r w:rsidRPr="001104AB">
        <w:rPr>
          <w:b/>
          <w:sz w:val="22"/>
          <w:szCs w:val="22"/>
        </w:rPr>
        <w:t>Important Dates</w:t>
      </w:r>
    </w:p>
    <w:p w:rsidR="00764B13" w:rsidRPr="001104AB" w:rsidRDefault="00E205E3" w:rsidP="00A22EED">
      <w:pPr>
        <w:pStyle w:val="NoSpacing"/>
        <w:numPr>
          <w:ilvl w:val="0"/>
          <w:numId w:val="16"/>
        </w:numPr>
      </w:pPr>
      <w:r w:rsidRPr="001104AB">
        <w:rPr>
          <w:sz w:val="22"/>
          <w:szCs w:val="22"/>
        </w:rPr>
        <w:t>Note the beginning and end dates of the award, as well as the programmatic/technical reporting and deliv</w:t>
      </w:r>
      <w:r w:rsidR="00B80CF3" w:rsidRPr="001104AB">
        <w:rPr>
          <w:sz w:val="22"/>
          <w:szCs w:val="22"/>
        </w:rPr>
        <w:t>er</w:t>
      </w:r>
      <w:r w:rsidRPr="001104AB">
        <w:rPr>
          <w:sz w:val="22"/>
          <w:szCs w:val="22"/>
        </w:rPr>
        <w:t>able requirements, and human or animal protection protocol renewals.</w:t>
      </w:r>
    </w:p>
    <w:p w:rsidR="00764B13" w:rsidRPr="001104AB" w:rsidRDefault="00764B13" w:rsidP="00A22EED">
      <w:pPr>
        <w:pStyle w:val="NoSpacing"/>
      </w:pPr>
    </w:p>
    <w:p w:rsidR="00764B13" w:rsidRPr="001104AB" w:rsidRDefault="00764B13" w:rsidP="00A22EED">
      <w:pPr>
        <w:pStyle w:val="NoSpacing"/>
        <w:rPr>
          <w:b/>
        </w:rPr>
      </w:pPr>
      <w:r w:rsidRPr="001104AB">
        <w:rPr>
          <w:b/>
          <w:sz w:val="22"/>
          <w:szCs w:val="22"/>
        </w:rPr>
        <w:t>Terms &amp; Conditions</w:t>
      </w:r>
    </w:p>
    <w:p w:rsidR="00764B13" w:rsidRPr="001104AB" w:rsidRDefault="00764B13" w:rsidP="00A22EED">
      <w:pPr>
        <w:pStyle w:val="NoSpacing"/>
        <w:numPr>
          <w:ilvl w:val="0"/>
          <w:numId w:val="16"/>
        </w:numPr>
      </w:pPr>
      <w:r w:rsidRPr="001104AB">
        <w:rPr>
          <w:sz w:val="22"/>
          <w:szCs w:val="22"/>
        </w:rPr>
        <w:t>Review and comply with the terms and conditions of the sponsor and the specific grant.</w:t>
      </w:r>
    </w:p>
    <w:p w:rsidR="000F7F26" w:rsidRPr="001104AB" w:rsidRDefault="000F7F26" w:rsidP="00A22EED">
      <w:pPr>
        <w:pStyle w:val="NoSpacing"/>
      </w:pPr>
    </w:p>
    <w:p w:rsidR="00764B13" w:rsidRPr="001104AB" w:rsidRDefault="00764B13" w:rsidP="00A22EED">
      <w:pPr>
        <w:pStyle w:val="NoSpacing"/>
        <w:rPr>
          <w:b/>
        </w:rPr>
      </w:pPr>
      <w:r w:rsidRPr="001104AB">
        <w:rPr>
          <w:b/>
          <w:sz w:val="22"/>
          <w:szCs w:val="22"/>
        </w:rPr>
        <w:t>Project Implementation</w:t>
      </w:r>
    </w:p>
    <w:p w:rsidR="00ED605C" w:rsidRPr="001104AB" w:rsidRDefault="00ED605C" w:rsidP="00A22EED">
      <w:pPr>
        <w:pStyle w:val="NoSpacing"/>
        <w:numPr>
          <w:ilvl w:val="0"/>
          <w:numId w:val="15"/>
        </w:numPr>
      </w:pPr>
      <w:r w:rsidRPr="001104AB">
        <w:rPr>
          <w:sz w:val="22"/>
          <w:szCs w:val="22"/>
        </w:rPr>
        <w:t>Start the project promptly.</w:t>
      </w:r>
    </w:p>
    <w:p w:rsidR="00764B13" w:rsidRPr="001104AB" w:rsidRDefault="00ED605C" w:rsidP="00A22EED">
      <w:pPr>
        <w:pStyle w:val="NoSpacing"/>
        <w:numPr>
          <w:ilvl w:val="0"/>
          <w:numId w:val="15"/>
        </w:numPr>
      </w:pPr>
      <w:r w:rsidRPr="001104AB">
        <w:rPr>
          <w:sz w:val="22"/>
          <w:szCs w:val="22"/>
        </w:rPr>
        <w:t>E</w:t>
      </w:r>
      <w:r w:rsidR="00764B13" w:rsidRPr="001104AB">
        <w:rPr>
          <w:sz w:val="22"/>
          <w:szCs w:val="22"/>
        </w:rPr>
        <w:t>nsure that the project stays within the scope and objectives of the original proposal.</w:t>
      </w:r>
      <w:r w:rsidR="009928F9" w:rsidRPr="001104AB">
        <w:rPr>
          <w:sz w:val="22"/>
          <w:szCs w:val="22"/>
        </w:rPr>
        <w:t xml:space="preserve"> If the scope or objectives need to be revised, contact the OSP</w:t>
      </w:r>
      <w:r w:rsidR="00862C12">
        <w:rPr>
          <w:sz w:val="22"/>
          <w:szCs w:val="22"/>
        </w:rPr>
        <w:t>FR</w:t>
      </w:r>
      <w:r w:rsidR="009928F9" w:rsidRPr="001104AB">
        <w:rPr>
          <w:sz w:val="22"/>
          <w:szCs w:val="22"/>
        </w:rPr>
        <w:t>.</w:t>
      </w:r>
    </w:p>
    <w:p w:rsidR="00ED605C" w:rsidRPr="001104AB" w:rsidRDefault="00ED605C" w:rsidP="00A22EED">
      <w:pPr>
        <w:pStyle w:val="NoSpacing"/>
        <w:numPr>
          <w:ilvl w:val="0"/>
          <w:numId w:val="15"/>
        </w:numPr>
      </w:pPr>
      <w:r w:rsidRPr="001104AB">
        <w:rPr>
          <w:sz w:val="22"/>
          <w:szCs w:val="22"/>
        </w:rPr>
        <w:t>Keep the program officer</w:t>
      </w:r>
      <w:r w:rsidR="002B7941" w:rsidRPr="001104AB">
        <w:rPr>
          <w:sz w:val="22"/>
          <w:szCs w:val="22"/>
        </w:rPr>
        <w:t>, OSP</w:t>
      </w:r>
      <w:r w:rsidR="00862C12">
        <w:rPr>
          <w:sz w:val="22"/>
          <w:szCs w:val="22"/>
        </w:rPr>
        <w:t>FR</w:t>
      </w:r>
      <w:r w:rsidR="002B7941" w:rsidRPr="001104AB">
        <w:rPr>
          <w:sz w:val="22"/>
          <w:szCs w:val="22"/>
        </w:rPr>
        <w:t xml:space="preserve">, and </w:t>
      </w:r>
      <w:r w:rsidR="009928F9" w:rsidRPr="001104AB">
        <w:rPr>
          <w:sz w:val="22"/>
          <w:szCs w:val="22"/>
        </w:rPr>
        <w:t>the Business Office</w:t>
      </w:r>
      <w:r w:rsidR="002B7941" w:rsidRPr="001104AB">
        <w:rPr>
          <w:sz w:val="22"/>
          <w:szCs w:val="22"/>
        </w:rPr>
        <w:t xml:space="preserve"> </w:t>
      </w:r>
      <w:r w:rsidRPr="001104AB">
        <w:rPr>
          <w:sz w:val="22"/>
          <w:szCs w:val="22"/>
        </w:rPr>
        <w:t>informed of your progress and any difficulties you may encounter.</w:t>
      </w:r>
    </w:p>
    <w:p w:rsidR="006A4544" w:rsidRPr="001104AB" w:rsidRDefault="006A4544" w:rsidP="00A22EED">
      <w:pPr>
        <w:pStyle w:val="NoSpacing"/>
        <w:rPr>
          <w:b/>
        </w:rPr>
      </w:pPr>
    </w:p>
    <w:p w:rsidR="00B80CF3" w:rsidRPr="001104AB" w:rsidRDefault="001004C1" w:rsidP="00A22EED">
      <w:pPr>
        <w:pStyle w:val="NoSpacing"/>
        <w:rPr>
          <w:b/>
        </w:rPr>
      </w:pPr>
      <w:r w:rsidRPr="001104AB">
        <w:rPr>
          <w:b/>
          <w:sz w:val="22"/>
          <w:szCs w:val="22"/>
        </w:rPr>
        <w:t>Report</w:t>
      </w:r>
      <w:r w:rsidR="00764B13" w:rsidRPr="001104AB">
        <w:rPr>
          <w:b/>
          <w:sz w:val="22"/>
          <w:szCs w:val="22"/>
        </w:rPr>
        <w:t>s</w:t>
      </w:r>
    </w:p>
    <w:p w:rsidR="000344CA" w:rsidRPr="001104AB" w:rsidRDefault="000344CA" w:rsidP="00A22EED">
      <w:pPr>
        <w:pStyle w:val="NoSpacing"/>
        <w:numPr>
          <w:ilvl w:val="0"/>
          <w:numId w:val="17"/>
        </w:numPr>
      </w:pPr>
      <w:r w:rsidRPr="001104AB">
        <w:rPr>
          <w:rFonts w:cs="Helvetica"/>
          <w:sz w:val="22"/>
          <w:shd w:val="clear" w:color="auto" w:fill="FFFFFF"/>
        </w:rPr>
        <w:t>Ensure all work conducted and reported is free of falsification, plagiarism, fabrication or other non-scholarly conduct.</w:t>
      </w:r>
    </w:p>
    <w:p w:rsidR="001061CB" w:rsidRPr="001104AB" w:rsidRDefault="001004C1" w:rsidP="00A22EED">
      <w:pPr>
        <w:pStyle w:val="NoSpacing"/>
        <w:numPr>
          <w:ilvl w:val="0"/>
          <w:numId w:val="17"/>
        </w:numPr>
      </w:pPr>
      <w:r w:rsidRPr="001104AB">
        <w:rPr>
          <w:sz w:val="22"/>
          <w:szCs w:val="22"/>
        </w:rPr>
        <w:lastRenderedPageBreak/>
        <w:t>The P</w:t>
      </w:r>
      <w:r w:rsidR="00EE4345" w:rsidRPr="001104AB">
        <w:rPr>
          <w:sz w:val="22"/>
          <w:szCs w:val="22"/>
        </w:rPr>
        <w:t>I</w:t>
      </w:r>
      <w:r w:rsidRPr="001104AB">
        <w:rPr>
          <w:sz w:val="22"/>
          <w:szCs w:val="22"/>
        </w:rPr>
        <w:t xml:space="preserve"> is responsible for the timely submission of all reports in accordance with the terms of the grant and requirements of the sponsor. </w:t>
      </w:r>
    </w:p>
    <w:p w:rsidR="001061CB" w:rsidRPr="001104AB" w:rsidRDefault="001004C1" w:rsidP="00A22EED">
      <w:pPr>
        <w:pStyle w:val="NoSpacing"/>
        <w:numPr>
          <w:ilvl w:val="0"/>
          <w:numId w:val="17"/>
        </w:numPr>
      </w:pPr>
      <w:r w:rsidRPr="001104AB">
        <w:rPr>
          <w:sz w:val="22"/>
          <w:szCs w:val="22"/>
        </w:rPr>
        <w:t xml:space="preserve">With the PI’s input, </w:t>
      </w:r>
      <w:r w:rsidR="00E205E3" w:rsidRPr="001104AB">
        <w:rPr>
          <w:sz w:val="22"/>
          <w:szCs w:val="22"/>
        </w:rPr>
        <w:t>the</w:t>
      </w:r>
      <w:r w:rsidRPr="001104AB">
        <w:rPr>
          <w:sz w:val="22"/>
          <w:szCs w:val="22"/>
        </w:rPr>
        <w:t xml:space="preserve"> </w:t>
      </w:r>
      <w:r w:rsidR="00705389" w:rsidRPr="001104AB">
        <w:rPr>
          <w:sz w:val="22"/>
          <w:szCs w:val="22"/>
        </w:rPr>
        <w:t>Business Office</w:t>
      </w:r>
      <w:r w:rsidRPr="001104AB">
        <w:rPr>
          <w:sz w:val="22"/>
          <w:szCs w:val="22"/>
        </w:rPr>
        <w:t xml:space="preserve"> will prepare any financial reports for submission to the sponsor; a financial report completed by the PI is not an official institutional report of expenditures. </w:t>
      </w:r>
    </w:p>
    <w:p w:rsidR="001061CB" w:rsidRPr="001104AB" w:rsidRDefault="00F33D3E" w:rsidP="00A22EED">
      <w:pPr>
        <w:pStyle w:val="NoSpacing"/>
        <w:numPr>
          <w:ilvl w:val="0"/>
          <w:numId w:val="17"/>
        </w:numPr>
      </w:pPr>
      <w:r w:rsidRPr="001104AB">
        <w:rPr>
          <w:sz w:val="22"/>
          <w:szCs w:val="22"/>
        </w:rPr>
        <w:t>One week p</w:t>
      </w:r>
      <w:r w:rsidR="001061CB" w:rsidRPr="001104AB">
        <w:rPr>
          <w:sz w:val="22"/>
          <w:szCs w:val="22"/>
        </w:rPr>
        <w:t>rior to submitting narrative reports to the granting agency, present a draft to the OSP</w:t>
      </w:r>
      <w:r w:rsidR="00862C12">
        <w:rPr>
          <w:sz w:val="22"/>
          <w:szCs w:val="22"/>
        </w:rPr>
        <w:t>FR</w:t>
      </w:r>
      <w:r w:rsidR="001061CB" w:rsidRPr="001104AB">
        <w:rPr>
          <w:sz w:val="22"/>
          <w:szCs w:val="22"/>
        </w:rPr>
        <w:t xml:space="preserve"> for review and approval. </w:t>
      </w:r>
    </w:p>
    <w:p w:rsidR="001004C1" w:rsidRPr="001104AB" w:rsidRDefault="001004C1" w:rsidP="00A22EED">
      <w:pPr>
        <w:pStyle w:val="NoSpacing"/>
        <w:numPr>
          <w:ilvl w:val="0"/>
          <w:numId w:val="17"/>
        </w:numPr>
      </w:pPr>
      <w:r w:rsidRPr="001104AB">
        <w:rPr>
          <w:sz w:val="22"/>
          <w:szCs w:val="22"/>
        </w:rPr>
        <w:t>Copies of all narrative reports and correspondence related to the grant should be forwarded to the OSP</w:t>
      </w:r>
      <w:r w:rsidR="00862C12">
        <w:rPr>
          <w:sz w:val="22"/>
          <w:szCs w:val="22"/>
        </w:rPr>
        <w:t>FR</w:t>
      </w:r>
      <w:r w:rsidRPr="001104AB">
        <w:rPr>
          <w:sz w:val="22"/>
          <w:szCs w:val="22"/>
        </w:rPr>
        <w:t>.</w:t>
      </w:r>
    </w:p>
    <w:p w:rsidR="003457F2" w:rsidRPr="001104AB" w:rsidRDefault="003457F2" w:rsidP="00A22EED">
      <w:pPr>
        <w:pStyle w:val="NoSpacing"/>
      </w:pPr>
    </w:p>
    <w:p w:rsidR="003961F7" w:rsidRPr="001104AB" w:rsidRDefault="00EE4345" w:rsidP="00A22EED">
      <w:pPr>
        <w:pStyle w:val="NoSpacing"/>
        <w:pBdr>
          <w:bottom w:val="single" w:sz="6" w:space="1" w:color="auto"/>
        </w:pBdr>
        <w:rPr>
          <w:b/>
        </w:rPr>
      </w:pPr>
      <w:r w:rsidRPr="001104AB">
        <w:rPr>
          <w:b/>
          <w:sz w:val="22"/>
          <w:szCs w:val="22"/>
        </w:rPr>
        <w:t>PERSONNEL MANAGEMENT</w:t>
      </w:r>
    </w:p>
    <w:p w:rsidR="003457F2" w:rsidRPr="001104AB" w:rsidRDefault="003457F2" w:rsidP="00A22EED">
      <w:pPr>
        <w:pStyle w:val="NoSpacing"/>
        <w:rPr>
          <w:b/>
        </w:rPr>
      </w:pPr>
    </w:p>
    <w:p w:rsidR="000344CA" w:rsidRPr="001104AB" w:rsidRDefault="000344CA" w:rsidP="00A22EED">
      <w:pPr>
        <w:pStyle w:val="NoSpacing"/>
        <w:rPr>
          <w:b/>
          <w:sz w:val="22"/>
          <w:szCs w:val="22"/>
        </w:rPr>
      </w:pPr>
      <w:r w:rsidRPr="001104AB">
        <w:rPr>
          <w:b/>
          <w:sz w:val="22"/>
          <w:szCs w:val="22"/>
        </w:rPr>
        <w:t xml:space="preserve">Personnel Oversight </w:t>
      </w:r>
    </w:p>
    <w:p w:rsidR="000344CA" w:rsidRDefault="000344CA" w:rsidP="000344CA">
      <w:pPr>
        <w:pStyle w:val="NoSpacing"/>
        <w:numPr>
          <w:ilvl w:val="0"/>
          <w:numId w:val="30"/>
        </w:numPr>
        <w:rPr>
          <w:sz w:val="22"/>
          <w:szCs w:val="22"/>
        </w:rPr>
      </w:pPr>
      <w:r w:rsidRPr="001104AB">
        <w:rPr>
          <w:sz w:val="22"/>
          <w:szCs w:val="22"/>
        </w:rPr>
        <w:t>Ensure that personnel are fulfilling programmatic requirements and completing deliverables.</w:t>
      </w:r>
    </w:p>
    <w:p w:rsidR="00E75984" w:rsidRPr="001104AB" w:rsidRDefault="00E75984" w:rsidP="000344CA">
      <w:pPr>
        <w:pStyle w:val="NoSpacing"/>
        <w:numPr>
          <w:ilvl w:val="0"/>
          <w:numId w:val="30"/>
        </w:numPr>
        <w:rPr>
          <w:sz w:val="22"/>
          <w:szCs w:val="22"/>
        </w:rPr>
      </w:pPr>
      <w:r>
        <w:rPr>
          <w:sz w:val="22"/>
          <w:szCs w:val="22"/>
        </w:rPr>
        <w:t xml:space="preserve">Keep salary and benefit information for your grant team confidential.  </w:t>
      </w:r>
    </w:p>
    <w:p w:rsidR="000344CA" w:rsidRPr="001104AB" w:rsidRDefault="000344CA" w:rsidP="00A22EED">
      <w:pPr>
        <w:pStyle w:val="NoSpacing"/>
        <w:rPr>
          <w:b/>
          <w:sz w:val="22"/>
          <w:szCs w:val="22"/>
        </w:rPr>
      </w:pPr>
    </w:p>
    <w:p w:rsidR="00EE4345" w:rsidRPr="001104AB" w:rsidRDefault="001004C1" w:rsidP="00A22EED">
      <w:pPr>
        <w:pStyle w:val="NoSpacing"/>
        <w:rPr>
          <w:b/>
        </w:rPr>
      </w:pPr>
      <w:r w:rsidRPr="001104AB">
        <w:rPr>
          <w:b/>
          <w:sz w:val="22"/>
          <w:szCs w:val="22"/>
        </w:rPr>
        <w:t>Effort Certification</w:t>
      </w:r>
    </w:p>
    <w:p w:rsidR="00ED605C" w:rsidRPr="001104AB" w:rsidRDefault="000344CA" w:rsidP="00A22EED">
      <w:pPr>
        <w:pStyle w:val="NoSpacing"/>
        <w:numPr>
          <w:ilvl w:val="0"/>
          <w:numId w:val="21"/>
        </w:numPr>
      </w:pPr>
      <w:r w:rsidRPr="001104AB">
        <w:rPr>
          <w:sz w:val="22"/>
          <w:szCs w:val="22"/>
        </w:rPr>
        <w:t>Track your own effort</w:t>
      </w:r>
      <w:r w:rsidR="00ED605C" w:rsidRPr="001104AB">
        <w:rPr>
          <w:sz w:val="22"/>
          <w:szCs w:val="22"/>
        </w:rPr>
        <w:t xml:space="preserve"> on the grant project and submit </w:t>
      </w:r>
      <w:r w:rsidR="001006DE">
        <w:rPr>
          <w:sz w:val="22"/>
          <w:szCs w:val="22"/>
        </w:rPr>
        <w:t>the appropriate documentation (P</w:t>
      </w:r>
      <w:r w:rsidR="00DA2E86">
        <w:rPr>
          <w:sz w:val="22"/>
          <w:szCs w:val="22"/>
        </w:rPr>
        <w:t>ersonnel Activity Reports or P</w:t>
      </w:r>
      <w:r w:rsidR="001006DE">
        <w:rPr>
          <w:sz w:val="22"/>
          <w:szCs w:val="22"/>
        </w:rPr>
        <w:t xml:space="preserve">ARs) </w:t>
      </w:r>
      <w:r w:rsidR="00ED605C" w:rsidRPr="001104AB">
        <w:rPr>
          <w:sz w:val="22"/>
          <w:szCs w:val="22"/>
        </w:rPr>
        <w:t xml:space="preserve">to the </w:t>
      </w:r>
      <w:r w:rsidR="00705389" w:rsidRPr="001104AB">
        <w:rPr>
          <w:sz w:val="22"/>
          <w:szCs w:val="22"/>
        </w:rPr>
        <w:t>Business Office</w:t>
      </w:r>
      <w:r w:rsidRPr="001104AB">
        <w:rPr>
          <w:sz w:val="22"/>
          <w:szCs w:val="22"/>
        </w:rPr>
        <w:t>.</w:t>
      </w:r>
    </w:p>
    <w:p w:rsidR="00BC54DE" w:rsidRPr="00F07C4E" w:rsidRDefault="00ED605C" w:rsidP="00A22EED">
      <w:pPr>
        <w:pStyle w:val="NoSpacing"/>
        <w:numPr>
          <w:ilvl w:val="0"/>
          <w:numId w:val="21"/>
        </w:numPr>
      </w:pPr>
      <w:r w:rsidRPr="001104AB">
        <w:rPr>
          <w:sz w:val="22"/>
          <w:szCs w:val="22"/>
        </w:rPr>
        <w:t xml:space="preserve">Certify </w:t>
      </w:r>
      <w:r w:rsidR="000344CA" w:rsidRPr="001104AB">
        <w:rPr>
          <w:sz w:val="22"/>
          <w:szCs w:val="22"/>
        </w:rPr>
        <w:t>effort of</w:t>
      </w:r>
      <w:r w:rsidRPr="001104AB">
        <w:rPr>
          <w:sz w:val="22"/>
          <w:szCs w:val="22"/>
        </w:rPr>
        <w:t xml:space="preserve"> all personnel (</w:t>
      </w:r>
      <w:r w:rsidR="0052332F" w:rsidRPr="001104AB">
        <w:rPr>
          <w:sz w:val="22"/>
          <w:szCs w:val="22"/>
        </w:rPr>
        <w:t>PI’s dean certifies the PI’s report</w:t>
      </w:r>
      <w:r w:rsidRPr="001104AB">
        <w:rPr>
          <w:sz w:val="22"/>
          <w:szCs w:val="22"/>
        </w:rPr>
        <w:t>)</w:t>
      </w:r>
      <w:r w:rsidR="0052332F" w:rsidRPr="001104AB">
        <w:rPr>
          <w:sz w:val="22"/>
          <w:szCs w:val="22"/>
        </w:rPr>
        <w:t>.</w:t>
      </w:r>
    </w:p>
    <w:p w:rsidR="00F07C4E" w:rsidRPr="001104AB" w:rsidRDefault="00F07C4E" w:rsidP="00A22EED">
      <w:pPr>
        <w:pStyle w:val="NoSpacing"/>
        <w:numPr>
          <w:ilvl w:val="0"/>
          <w:numId w:val="21"/>
        </w:numPr>
      </w:pPr>
      <w:r>
        <w:rPr>
          <w:sz w:val="22"/>
          <w:szCs w:val="22"/>
        </w:rPr>
        <w:t>Immediately alert the Business Office of any changes or errors made in effort certification.</w:t>
      </w:r>
    </w:p>
    <w:p w:rsidR="00BC54DE" w:rsidRPr="001104AB" w:rsidRDefault="00BC54DE" w:rsidP="00A22EED">
      <w:pPr>
        <w:pStyle w:val="NoSpacing"/>
      </w:pPr>
    </w:p>
    <w:p w:rsidR="00BC54DE" w:rsidRPr="001104AB" w:rsidRDefault="0052332F" w:rsidP="00A22EED">
      <w:pPr>
        <w:pStyle w:val="NoSpacing"/>
        <w:rPr>
          <w:b/>
        </w:rPr>
      </w:pPr>
      <w:proofErr w:type="spellStart"/>
      <w:r w:rsidRPr="001104AB">
        <w:rPr>
          <w:b/>
          <w:sz w:val="22"/>
          <w:szCs w:val="22"/>
        </w:rPr>
        <w:t>Subaward</w:t>
      </w:r>
      <w:proofErr w:type="spellEnd"/>
      <w:r w:rsidR="00B80CF3" w:rsidRPr="001104AB">
        <w:rPr>
          <w:b/>
          <w:sz w:val="22"/>
          <w:szCs w:val="22"/>
        </w:rPr>
        <w:t xml:space="preserve"> Monitoring</w:t>
      </w:r>
      <w:r w:rsidR="002B7941" w:rsidRPr="001104AB">
        <w:rPr>
          <w:b/>
          <w:sz w:val="22"/>
          <w:szCs w:val="22"/>
        </w:rPr>
        <w:t xml:space="preserve"> (if applicable)</w:t>
      </w:r>
    </w:p>
    <w:p w:rsidR="00A70493" w:rsidRPr="001104AB" w:rsidRDefault="002B7941" w:rsidP="00A22EED">
      <w:pPr>
        <w:pStyle w:val="NoSpacing"/>
        <w:numPr>
          <w:ilvl w:val="0"/>
          <w:numId w:val="22"/>
        </w:numPr>
      </w:pPr>
      <w:r w:rsidRPr="001104AB">
        <w:rPr>
          <w:sz w:val="22"/>
          <w:szCs w:val="22"/>
        </w:rPr>
        <w:t>M</w:t>
      </w:r>
      <w:r w:rsidR="00DC6C8F" w:rsidRPr="001104AB">
        <w:rPr>
          <w:sz w:val="22"/>
          <w:szCs w:val="22"/>
        </w:rPr>
        <w:t xml:space="preserve">anage </w:t>
      </w:r>
      <w:proofErr w:type="spellStart"/>
      <w:r w:rsidR="00A357D9" w:rsidRPr="001104AB">
        <w:rPr>
          <w:sz w:val="22"/>
          <w:szCs w:val="22"/>
        </w:rPr>
        <w:t>subawardee</w:t>
      </w:r>
      <w:proofErr w:type="spellEnd"/>
      <w:r w:rsidR="00A357D9" w:rsidRPr="001104AB">
        <w:rPr>
          <w:sz w:val="22"/>
          <w:szCs w:val="22"/>
        </w:rPr>
        <w:t xml:space="preserve">(s) in accordance with </w:t>
      </w:r>
      <w:r w:rsidR="00737963" w:rsidRPr="001104AB">
        <w:rPr>
          <w:sz w:val="22"/>
          <w:szCs w:val="22"/>
        </w:rPr>
        <w:t xml:space="preserve">the sponsor’s </w:t>
      </w:r>
      <w:r w:rsidR="00A357D9" w:rsidRPr="001104AB">
        <w:rPr>
          <w:sz w:val="22"/>
          <w:szCs w:val="22"/>
        </w:rPr>
        <w:t xml:space="preserve">policy and </w:t>
      </w:r>
      <w:r w:rsidR="00862C12">
        <w:rPr>
          <w:sz w:val="22"/>
          <w:szCs w:val="22"/>
        </w:rPr>
        <w:t>University</w:t>
      </w:r>
      <w:r w:rsidR="00A357D9" w:rsidRPr="001104AB">
        <w:rPr>
          <w:sz w:val="22"/>
          <w:szCs w:val="22"/>
        </w:rPr>
        <w:t xml:space="preserve"> procedure, which may include site visits, budget management, and progress monitoring.</w:t>
      </w:r>
      <w:r w:rsidR="00A70493" w:rsidRPr="001104AB">
        <w:rPr>
          <w:sz w:val="22"/>
          <w:szCs w:val="22"/>
        </w:rPr>
        <w:t xml:space="preserve"> </w:t>
      </w:r>
      <w:r w:rsidR="00B93E45" w:rsidRPr="001104AB">
        <w:rPr>
          <w:sz w:val="22"/>
          <w:szCs w:val="22"/>
        </w:rPr>
        <w:t>Progress monitoring may include both</w:t>
      </w:r>
      <w:r w:rsidR="00A70493" w:rsidRPr="001104AB">
        <w:rPr>
          <w:sz w:val="22"/>
          <w:szCs w:val="22"/>
        </w:rPr>
        <w:t xml:space="preserve"> programmatic/technical and financial progress. </w:t>
      </w:r>
    </w:p>
    <w:p w:rsidR="00CE3C55" w:rsidRPr="001104AB" w:rsidRDefault="00CE3C55" w:rsidP="00A22EED">
      <w:pPr>
        <w:pStyle w:val="NoSpacing"/>
      </w:pPr>
    </w:p>
    <w:p w:rsidR="00BC54DE" w:rsidRPr="001104AB" w:rsidRDefault="00BC54DE" w:rsidP="00DC6C8F">
      <w:pPr>
        <w:pStyle w:val="NoSpacing"/>
        <w:pBdr>
          <w:bottom w:val="single" w:sz="6" w:space="1" w:color="auto"/>
        </w:pBdr>
        <w:rPr>
          <w:b/>
          <w:sz w:val="22"/>
          <w:szCs w:val="22"/>
        </w:rPr>
      </w:pPr>
      <w:r w:rsidRPr="001104AB">
        <w:rPr>
          <w:rFonts w:eastAsia="Times New Roman" w:cs="Arial"/>
          <w:b/>
          <w:sz w:val="22"/>
          <w:szCs w:val="22"/>
        </w:rPr>
        <w:t>BUDGET</w:t>
      </w:r>
      <w:r w:rsidRPr="001104AB">
        <w:rPr>
          <w:b/>
          <w:sz w:val="22"/>
          <w:szCs w:val="22"/>
        </w:rPr>
        <w:t xml:space="preserve"> MANAGEMENT</w:t>
      </w:r>
    </w:p>
    <w:p w:rsidR="003457F2" w:rsidRPr="001104AB" w:rsidRDefault="003457F2" w:rsidP="00DC6C8F">
      <w:pPr>
        <w:pStyle w:val="NoSpacing"/>
        <w:rPr>
          <w:b/>
          <w:sz w:val="22"/>
          <w:szCs w:val="22"/>
        </w:rPr>
      </w:pPr>
    </w:p>
    <w:p w:rsidR="00B80CF3" w:rsidRPr="001104AB" w:rsidRDefault="00B93E45" w:rsidP="00A22EED">
      <w:pPr>
        <w:pStyle w:val="NoSpacing"/>
        <w:rPr>
          <w:b/>
          <w:sz w:val="22"/>
          <w:szCs w:val="22"/>
        </w:rPr>
      </w:pPr>
      <w:r w:rsidRPr="001104AB">
        <w:rPr>
          <w:b/>
          <w:sz w:val="22"/>
          <w:szCs w:val="22"/>
        </w:rPr>
        <w:t>Review</w:t>
      </w:r>
      <w:r w:rsidR="00B80CF3" w:rsidRPr="001104AB">
        <w:rPr>
          <w:b/>
          <w:sz w:val="22"/>
          <w:szCs w:val="22"/>
        </w:rPr>
        <w:t xml:space="preserve"> Allowable Costs</w:t>
      </w:r>
    </w:p>
    <w:p w:rsidR="00DE0E9D" w:rsidRPr="001104AB" w:rsidRDefault="00B93E45" w:rsidP="00DE0E9D">
      <w:pPr>
        <w:pStyle w:val="ListParagraph"/>
        <w:numPr>
          <w:ilvl w:val="0"/>
          <w:numId w:val="23"/>
        </w:numPr>
        <w:spacing w:after="0" w:line="240" w:lineRule="auto"/>
        <w:ind w:right="-280"/>
        <w:rPr>
          <w:rFonts w:ascii="Book Antiqua" w:eastAsia="Times New Roman" w:hAnsi="Book Antiqua" w:cs="Times New Roman"/>
        </w:rPr>
      </w:pPr>
      <w:r w:rsidRPr="001104AB">
        <w:rPr>
          <w:rFonts w:ascii="Book Antiqua" w:eastAsia="Times New Roman" w:hAnsi="Book Antiqua" w:cs="Times New Roman"/>
        </w:rPr>
        <w:t>All expenses charged to a grant must be necessary to achieve the objectives of the approved grant, allocable to that particular project, and allowable under the terms of the grant.</w:t>
      </w:r>
      <w:r w:rsidR="008068CE" w:rsidRPr="001104AB">
        <w:rPr>
          <w:rFonts w:ascii="Book Antiqua" w:eastAsia="Times New Roman" w:hAnsi="Book Antiqua" w:cs="Times New Roman"/>
        </w:rPr>
        <w:t xml:space="preserve"> </w:t>
      </w:r>
      <w:r w:rsidR="00DE0E9D" w:rsidRPr="001104AB">
        <w:rPr>
          <w:rFonts w:ascii="Book Antiqua" w:eastAsia="Times New Roman" w:hAnsi="Book Antiqua" w:cs="Times New Roman"/>
        </w:rPr>
        <w:t xml:space="preserve">The activities of the program should follow how the budget is being expended. </w:t>
      </w:r>
    </w:p>
    <w:p w:rsidR="0052332F" w:rsidRPr="001104AB" w:rsidRDefault="008068CE" w:rsidP="00A22EED">
      <w:pPr>
        <w:pStyle w:val="ListParagraph"/>
        <w:numPr>
          <w:ilvl w:val="0"/>
          <w:numId w:val="19"/>
        </w:numPr>
        <w:spacing w:after="0" w:line="240" w:lineRule="auto"/>
        <w:rPr>
          <w:rFonts w:ascii="Book Antiqua" w:hAnsi="Book Antiqua" w:cs="Times New Roman"/>
        </w:rPr>
      </w:pPr>
      <w:r w:rsidRPr="001104AB">
        <w:rPr>
          <w:rFonts w:ascii="Book Antiqua" w:hAnsi="Book Antiqua" w:cs="Times New Roman"/>
        </w:rPr>
        <w:t xml:space="preserve">Allowable costs will be identified in </w:t>
      </w:r>
      <w:r w:rsidRPr="001104AB">
        <w:rPr>
          <w:rFonts w:ascii="Book Antiqua" w:hAnsi="Book Antiqua"/>
        </w:rPr>
        <w:t>the n</w:t>
      </w:r>
      <w:r w:rsidRPr="001104AB">
        <w:rPr>
          <w:rFonts w:ascii="Book Antiqua" w:hAnsi="Book Antiqua" w:cs="Times New Roman"/>
        </w:rPr>
        <w:t>otice of award (NOA), the Uniform Guidance</w:t>
      </w:r>
      <w:r w:rsidR="00737963" w:rsidRPr="001104AB">
        <w:rPr>
          <w:rFonts w:ascii="Book Antiqua" w:hAnsi="Book Antiqua" w:cs="Times New Roman"/>
        </w:rPr>
        <w:t xml:space="preserve"> (for Federal grants)</w:t>
      </w:r>
      <w:r w:rsidRPr="001104AB">
        <w:rPr>
          <w:rFonts w:ascii="Book Antiqua" w:hAnsi="Book Antiqua" w:cs="Times New Roman"/>
        </w:rPr>
        <w:t xml:space="preserve">, </w:t>
      </w:r>
      <w:r w:rsidR="00310E7D" w:rsidRPr="001104AB">
        <w:rPr>
          <w:rFonts w:ascii="Book Antiqua" w:hAnsi="Book Antiqua" w:cs="Times New Roman"/>
        </w:rPr>
        <w:t>and/</w:t>
      </w:r>
      <w:r w:rsidRPr="001104AB">
        <w:rPr>
          <w:rFonts w:ascii="Book Antiqua" w:hAnsi="Book Antiqua" w:cs="Times New Roman"/>
        </w:rPr>
        <w:t>or in office</w:t>
      </w:r>
      <w:r w:rsidR="002B7941" w:rsidRPr="001104AB">
        <w:rPr>
          <w:rFonts w:ascii="Book Antiqua" w:hAnsi="Book Antiqua" w:cs="Times New Roman"/>
        </w:rPr>
        <w:t>,</w:t>
      </w:r>
      <w:r w:rsidRPr="001104AB">
        <w:rPr>
          <w:rFonts w:ascii="Book Antiqua" w:hAnsi="Book Antiqua" w:cs="Times New Roman"/>
        </w:rPr>
        <w:t xml:space="preserve"> agency</w:t>
      </w:r>
      <w:r w:rsidR="002B7941" w:rsidRPr="001104AB">
        <w:rPr>
          <w:rFonts w:ascii="Book Antiqua" w:hAnsi="Book Antiqua" w:cs="Times New Roman"/>
        </w:rPr>
        <w:t>, and institutional</w:t>
      </w:r>
      <w:r w:rsidRPr="001104AB">
        <w:rPr>
          <w:rFonts w:ascii="Book Antiqua" w:hAnsi="Book Antiqua" w:cs="Times New Roman"/>
        </w:rPr>
        <w:t xml:space="preserve"> guidelines. </w:t>
      </w:r>
      <w:r w:rsidR="00A357D9" w:rsidRPr="001104AB">
        <w:rPr>
          <w:rFonts w:ascii="Book Antiqua" w:hAnsi="Book Antiqua" w:cs="Times New Roman"/>
        </w:rPr>
        <w:t>Consult with OSP</w:t>
      </w:r>
      <w:r w:rsidR="00862C12">
        <w:rPr>
          <w:rFonts w:ascii="Book Antiqua" w:hAnsi="Book Antiqua" w:cs="Times New Roman"/>
        </w:rPr>
        <w:t>FR</w:t>
      </w:r>
      <w:r w:rsidR="00A357D9" w:rsidRPr="001104AB">
        <w:rPr>
          <w:rFonts w:ascii="Book Antiqua" w:hAnsi="Book Antiqua" w:cs="Times New Roman"/>
        </w:rPr>
        <w:t xml:space="preserve"> and the </w:t>
      </w:r>
      <w:r w:rsidR="00705389" w:rsidRPr="001104AB">
        <w:rPr>
          <w:rFonts w:ascii="Book Antiqua" w:hAnsi="Book Antiqua" w:cs="Times New Roman"/>
        </w:rPr>
        <w:t>Business Office</w:t>
      </w:r>
      <w:r w:rsidR="00A357D9" w:rsidRPr="001104AB">
        <w:rPr>
          <w:rFonts w:ascii="Book Antiqua" w:hAnsi="Book Antiqua" w:cs="Times New Roman"/>
        </w:rPr>
        <w:t xml:space="preserve"> </w:t>
      </w:r>
      <w:r w:rsidR="00B93E45" w:rsidRPr="001104AB">
        <w:rPr>
          <w:rFonts w:ascii="Book Antiqua" w:hAnsi="Book Antiqua"/>
        </w:rPr>
        <w:t xml:space="preserve">to </w:t>
      </w:r>
      <w:r w:rsidR="006A4544" w:rsidRPr="001104AB">
        <w:rPr>
          <w:rFonts w:ascii="Book Antiqua" w:hAnsi="Book Antiqua"/>
        </w:rPr>
        <w:t xml:space="preserve">review </w:t>
      </w:r>
      <w:r w:rsidR="00BC54DE" w:rsidRPr="001104AB">
        <w:rPr>
          <w:rFonts w:ascii="Book Antiqua" w:hAnsi="Book Antiqua" w:cs="Times New Roman"/>
        </w:rPr>
        <w:t xml:space="preserve">allowable and </w:t>
      </w:r>
      <w:r w:rsidR="00A357D9" w:rsidRPr="001104AB">
        <w:rPr>
          <w:rFonts w:ascii="Book Antiqua" w:hAnsi="Book Antiqua" w:cs="Times New Roman"/>
        </w:rPr>
        <w:t>unallowable direct costs</w:t>
      </w:r>
      <w:r w:rsidR="006A4544" w:rsidRPr="001104AB">
        <w:rPr>
          <w:rFonts w:ascii="Book Antiqua" w:hAnsi="Book Antiqua" w:cs="Times New Roman"/>
        </w:rPr>
        <w:t xml:space="preserve"> if necessary. </w:t>
      </w:r>
    </w:p>
    <w:p w:rsidR="00B80CF3" w:rsidRPr="001104AB" w:rsidRDefault="00B80CF3" w:rsidP="00A22EED">
      <w:pPr>
        <w:pStyle w:val="NoSpacing"/>
        <w:rPr>
          <w:sz w:val="22"/>
          <w:szCs w:val="22"/>
        </w:rPr>
      </w:pPr>
    </w:p>
    <w:p w:rsidR="00DE0E9D" w:rsidRPr="001104AB" w:rsidRDefault="00DE0E9D" w:rsidP="00A22EED">
      <w:pPr>
        <w:pStyle w:val="NoSpacing"/>
        <w:rPr>
          <w:b/>
          <w:sz w:val="22"/>
          <w:szCs w:val="22"/>
        </w:rPr>
      </w:pPr>
      <w:r w:rsidRPr="001104AB">
        <w:rPr>
          <w:b/>
          <w:sz w:val="22"/>
          <w:szCs w:val="22"/>
        </w:rPr>
        <w:t>Make purchases</w:t>
      </w:r>
    </w:p>
    <w:p w:rsidR="00DE0E9D" w:rsidRPr="001104AB" w:rsidRDefault="00DE0E9D" w:rsidP="00DE0E9D">
      <w:pPr>
        <w:pStyle w:val="NoSpacing"/>
        <w:numPr>
          <w:ilvl w:val="0"/>
          <w:numId w:val="19"/>
        </w:numPr>
        <w:rPr>
          <w:sz w:val="20"/>
          <w:szCs w:val="22"/>
        </w:rPr>
      </w:pPr>
      <w:r w:rsidRPr="001104AB">
        <w:rPr>
          <w:rFonts w:eastAsia="Times New Roman"/>
          <w:sz w:val="22"/>
        </w:rPr>
        <w:t xml:space="preserve">Contact the </w:t>
      </w:r>
      <w:r w:rsidR="00862C12">
        <w:rPr>
          <w:rFonts w:eastAsia="Times New Roman"/>
          <w:sz w:val="22"/>
        </w:rPr>
        <w:t>University’s</w:t>
      </w:r>
      <w:r w:rsidRPr="001104AB">
        <w:rPr>
          <w:rFonts w:eastAsia="Times New Roman"/>
          <w:sz w:val="22"/>
        </w:rPr>
        <w:t xml:space="preserve"> purchasing office if you are planning to purchase supplies or equipment.</w:t>
      </w:r>
    </w:p>
    <w:p w:rsidR="00DE0E9D" w:rsidRPr="001104AB" w:rsidRDefault="00DE0E9D" w:rsidP="00DE0E9D">
      <w:pPr>
        <w:pStyle w:val="ListParagraph"/>
        <w:numPr>
          <w:ilvl w:val="0"/>
          <w:numId w:val="19"/>
        </w:numPr>
        <w:spacing w:after="0" w:line="240" w:lineRule="auto"/>
        <w:rPr>
          <w:rFonts w:ascii="Book Antiqua" w:eastAsia="Times New Roman" w:hAnsi="Book Antiqua" w:cs="Times New Roman"/>
        </w:rPr>
      </w:pPr>
      <w:r w:rsidRPr="001104AB">
        <w:rPr>
          <w:rFonts w:ascii="Book Antiqua" w:eastAsia="Times New Roman" w:hAnsi="Book Antiqua" w:cs="Times New Roman"/>
        </w:rPr>
        <w:t>Complete Payment Request Form to pay for grant project expenses.  The form must be s</w:t>
      </w:r>
      <w:r w:rsidRPr="001104AB">
        <w:rPr>
          <w:rFonts w:ascii="Book Antiqua" w:eastAsia="Times New Roman" w:hAnsi="Book Antiqua"/>
        </w:rPr>
        <w:t>ubmitted to the Business Office.</w:t>
      </w:r>
    </w:p>
    <w:p w:rsidR="00DE0E9D" w:rsidRPr="001104AB" w:rsidRDefault="00DE0E9D" w:rsidP="00A22EED">
      <w:pPr>
        <w:pStyle w:val="NoSpacing"/>
        <w:rPr>
          <w:sz w:val="22"/>
          <w:szCs w:val="22"/>
        </w:rPr>
      </w:pPr>
    </w:p>
    <w:p w:rsidR="00B80CF3" w:rsidRPr="001104AB" w:rsidRDefault="00B80CF3" w:rsidP="00A22EED">
      <w:pPr>
        <w:pStyle w:val="NoSpacing"/>
        <w:rPr>
          <w:b/>
          <w:sz w:val="22"/>
          <w:szCs w:val="22"/>
        </w:rPr>
      </w:pPr>
      <w:r w:rsidRPr="001104AB">
        <w:rPr>
          <w:b/>
          <w:sz w:val="22"/>
          <w:szCs w:val="22"/>
        </w:rPr>
        <w:t>Monitor Expenditures</w:t>
      </w:r>
    </w:p>
    <w:p w:rsidR="00ED605C" w:rsidRPr="001104AB" w:rsidRDefault="00ED605C" w:rsidP="00A22EED">
      <w:pPr>
        <w:pStyle w:val="NoSpacing"/>
        <w:numPr>
          <w:ilvl w:val="0"/>
          <w:numId w:val="19"/>
        </w:numPr>
        <w:rPr>
          <w:sz w:val="22"/>
          <w:szCs w:val="22"/>
        </w:rPr>
      </w:pPr>
      <w:r w:rsidRPr="001104AB">
        <w:rPr>
          <w:sz w:val="22"/>
          <w:szCs w:val="22"/>
        </w:rPr>
        <w:t xml:space="preserve">Use Banner </w:t>
      </w:r>
      <w:r w:rsidR="002B7941" w:rsidRPr="001104AB">
        <w:rPr>
          <w:sz w:val="22"/>
          <w:szCs w:val="22"/>
        </w:rPr>
        <w:t xml:space="preserve">and consult with the </w:t>
      </w:r>
      <w:r w:rsidR="00705389" w:rsidRPr="001104AB">
        <w:rPr>
          <w:sz w:val="22"/>
          <w:szCs w:val="22"/>
        </w:rPr>
        <w:t>Business Office</w:t>
      </w:r>
      <w:r w:rsidR="002B7941" w:rsidRPr="001104AB">
        <w:rPr>
          <w:sz w:val="22"/>
          <w:szCs w:val="22"/>
        </w:rPr>
        <w:t xml:space="preserve"> </w:t>
      </w:r>
      <w:r w:rsidRPr="001104AB">
        <w:rPr>
          <w:sz w:val="22"/>
          <w:szCs w:val="22"/>
        </w:rPr>
        <w:t>to monitor your grant expenses on a monthly basis, ensuring that you do not overspend.</w:t>
      </w:r>
    </w:p>
    <w:p w:rsidR="00DE0E9D" w:rsidRPr="001104AB" w:rsidRDefault="00DE0E9D" w:rsidP="00A22EED">
      <w:pPr>
        <w:pStyle w:val="ListParagraph"/>
        <w:numPr>
          <w:ilvl w:val="0"/>
          <w:numId w:val="19"/>
        </w:numPr>
        <w:spacing w:after="0" w:line="240" w:lineRule="auto"/>
        <w:rPr>
          <w:rFonts w:eastAsia="Times New Roman"/>
        </w:rPr>
      </w:pPr>
      <w:r w:rsidRPr="001104AB">
        <w:rPr>
          <w:rFonts w:ascii="Book Antiqua" w:eastAsia="Times New Roman" w:hAnsi="Book Antiqua" w:cs="Times New Roman"/>
        </w:rPr>
        <w:t>Manage the grant budget and paperwork (orders, forms, invoices, quotes, etc.), identifying the grant fund number on all paperwork.</w:t>
      </w:r>
    </w:p>
    <w:p w:rsidR="00ED605C" w:rsidRDefault="00ED605C" w:rsidP="00A22EED">
      <w:pPr>
        <w:pStyle w:val="NoSpacing"/>
        <w:rPr>
          <w:sz w:val="22"/>
          <w:szCs w:val="22"/>
        </w:rPr>
      </w:pPr>
    </w:p>
    <w:p w:rsidR="005E0F23" w:rsidRDefault="005E0F23" w:rsidP="00A22EED">
      <w:pPr>
        <w:pStyle w:val="NoSpacing"/>
        <w:rPr>
          <w:sz w:val="22"/>
          <w:szCs w:val="22"/>
        </w:rPr>
      </w:pPr>
    </w:p>
    <w:p w:rsidR="005E0F23" w:rsidRPr="001104AB" w:rsidRDefault="005E0F23" w:rsidP="00A22EED">
      <w:pPr>
        <w:pStyle w:val="NoSpacing"/>
        <w:rPr>
          <w:sz w:val="22"/>
          <w:szCs w:val="22"/>
        </w:rPr>
      </w:pPr>
    </w:p>
    <w:p w:rsidR="00B80CF3" w:rsidRPr="001104AB" w:rsidRDefault="00B80CF3" w:rsidP="00A22EED">
      <w:pPr>
        <w:pStyle w:val="NoSpacing"/>
        <w:rPr>
          <w:b/>
          <w:sz w:val="22"/>
          <w:szCs w:val="22"/>
        </w:rPr>
      </w:pPr>
      <w:r w:rsidRPr="001104AB">
        <w:rPr>
          <w:b/>
          <w:sz w:val="22"/>
          <w:szCs w:val="22"/>
        </w:rPr>
        <w:t>A</w:t>
      </w:r>
      <w:r w:rsidR="00BC54DE" w:rsidRPr="001104AB">
        <w:rPr>
          <w:b/>
          <w:sz w:val="22"/>
          <w:szCs w:val="22"/>
        </w:rPr>
        <w:t>lert the OSP</w:t>
      </w:r>
      <w:r w:rsidR="00862C12">
        <w:rPr>
          <w:b/>
          <w:sz w:val="22"/>
          <w:szCs w:val="22"/>
        </w:rPr>
        <w:t>FR</w:t>
      </w:r>
      <w:r w:rsidR="00BC54DE" w:rsidRPr="001104AB">
        <w:rPr>
          <w:b/>
          <w:sz w:val="22"/>
          <w:szCs w:val="22"/>
        </w:rPr>
        <w:t xml:space="preserve"> and </w:t>
      </w:r>
      <w:r w:rsidR="00705389" w:rsidRPr="001104AB">
        <w:rPr>
          <w:b/>
          <w:sz w:val="22"/>
          <w:szCs w:val="22"/>
        </w:rPr>
        <w:t>Business Office</w:t>
      </w:r>
      <w:r w:rsidR="00BC54DE" w:rsidRPr="001104AB">
        <w:rPr>
          <w:b/>
          <w:sz w:val="22"/>
          <w:szCs w:val="22"/>
        </w:rPr>
        <w:t xml:space="preserve"> if</w:t>
      </w:r>
      <w:r w:rsidR="00705389" w:rsidRPr="001104AB">
        <w:rPr>
          <w:b/>
          <w:sz w:val="22"/>
          <w:szCs w:val="22"/>
        </w:rPr>
        <w:t xml:space="preserve"> formal</w:t>
      </w:r>
      <w:r w:rsidR="00BC54DE" w:rsidRPr="001104AB">
        <w:rPr>
          <w:b/>
          <w:sz w:val="22"/>
          <w:szCs w:val="22"/>
        </w:rPr>
        <w:t xml:space="preserve"> budget revisions will be needed</w:t>
      </w:r>
      <w:r w:rsidRPr="001104AB">
        <w:rPr>
          <w:b/>
          <w:sz w:val="22"/>
          <w:szCs w:val="22"/>
        </w:rPr>
        <w:t>.</w:t>
      </w:r>
    </w:p>
    <w:p w:rsidR="00A70493" w:rsidRPr="001104AB" w:rsidRDefault="00BC54DE" w:rsidP="00A22EED">
      <w:pPr>
        <w:pStyle w:val="NoSpacing"/>
        <w:numPr>
          <w:ilvl w:val="0"/>
          <w:numId w:val="19"/>
        </w:numPr>
        <w:rPr>
          <w:sz w:val="22"/>
          <w:szCs w:val="22"/>
        </w:rPr>
      </w:pPr>
      <w:r w:rsidRPr="001104AB">
        <w:rPr>
          <w:sz w:val="22"/>
          <w:szCs w:val="22"/>
        </w:rPr>
        <w:t>Notify</w:t>
      </w:r>
      <w:r w:rsidR="00DC6C8F" w:rsidRPr="001104AB">
        <w:rPr>
          <w:sz w:val="22"/>
          <w:szCs w:val="22"/>
        </w:rPr>
        <w:t xml:space="preserve"> </w:t>
      </w:r>
      <w:r w:rsidR="005E0F23">
        <w:rPr>
          <w:sz w:val="22"/>
          <w:szCs w:val="22"/>
        </w:rPr>
        <w:t xml:space="preserve">the </w:t>
      </w:r>
      <w:r w:rsidR="00DC6C8F" w:rsidRPr="001104AB">
        <w:rPr>
          <w:sz w:val="22"/>
          <w:szCs w:val="22"/>
        </w:rPr>
        <w:t>OSP</w:t>
      </w:r>
      <w:r w:rsidR="00862C12">
        <w:rPr>
          <w:sz w:val="22"/>
          <w:szCs w:val="22"/>
        </w:rPr>
        <w:t>FR</w:t>
      </w:r>
      <w:r w:rsidR="00DC6C8F" w:rsidRPr="001104AB">
        <w:rPr>
          <w:sz w:val="22"/>
          <w:szCs w:val="22"/>
        </w:rPr>
        <w:t xml:space="preserve"> and </w:t>
      </w:r>
      <w:r w:rsidR="00705389" w:rsidRPr="001104AB">
        <w:rPr>
          <w:sz w:val="22"/>
          <w:szCs w:val="22"/>
        </w:rPr>
        <w:t>Business Office</w:t>
      </w:r>
      <w:r w:rsidR="00EE1F36" w:rsidRPr="001104AB">
        <w:rPr>
          <w:sz w:val="22"/>
          <w:szCs w:val="22"/>
        </w:rPr>
        <w:t xml:space="preserve"> </w:t>
      </w:r>
      <w:r w:rsidR="00DC6C8F" w:rsidRPr="001104AB">
        <w:rPr>
          <w:sz w:val="22"/>
          <w:szCs w:val="22"/>
        </w:rPr>
        <w:t>of any major changes, including changes in personnel, costs and scope of project</w:t>
      </w:r>
      <w:r w:rsidR="00A70493" w:rsidRPr="001104AB">
        <w:rPr>
          <w:sz w:val="22"/>
          <w:szCs w:val="22"/>
        </w:rPr>
        <w:t xml:space="preserve">, </w:t>
      </w:r>
      <w:r w:rsidRPr="001104AB">
        <w:rPr>
          <w:sz w:val="22"/>
          <w:szCs w:val="22"/>
        </w:rPr>
        <w:t>a</w:t>
      </w:r>
      <w:r w:rsidR="00A70493" w:rsidRPr="001104AB">
        <w:rPr>
          <w:sz w:val="22"/>
          <w:szCs w:val="22"/>
        </w:rPr>
        <w:t>s soon as these changes are anticipated or identified.</w:t>
      </w:r>
    </w:p>
    <w:p w:rsidR="00EE1F36" w:rsidRDefault="00EE1F36" w:rsidP="00A22EED">
      <w:pPr>
        <w:pStyle w:val="NoSpacing"/>
        <w:numPr>
          <w:ilvl w:val="0"/>
          <w:numId w:val="19"/>
        </w:numPr>
        <w:rPr>
          <w:rFonts w:eastAsia="Times New Roman" w:cs="Arial"/>
          <w:sz w:val="22"/>
          <w:szCs w:val="22"/>
        </w:rPr>
      </w:pPr>
      <w:r w:rsidRPr="001104AB">
        <w:rPr>
          <w:rFonts w:eastAsia="Times New Roman" w:cs="Arial"/>
          <w:sz w:val="22"/>
          <w:szCs w:val="22"/>
        </w:rPr>
        <w:t>Plan ahead if budget changes or an extension of the project period is needed</w:t>
      </w:r>
      <w:r w:rsidR="00BC54DE" w:rsidRPr="001104AB">
        <w:rPr>
          <w:rFonts w:eastAsia="Times New Roman" w:cs="Arial"/>
          <w:sz w:val="22"/>
          <w:szCs w:val="22"/>
        </w:rPr>
        <w:t>, including if all funds will not be spent within the correct time frame</w:t>
      </w:r>
      <w:r w:rsidRPr="001104AB">
        <w:rPr>
          <w:rFonts w:eastAsia="Times New Roman" w:cs="Arial"/>
          <w:sz w:val="22"/>
          <w:szCs w:val="22"/>
        </w:rPr>
        <w:t xml:space="preserve">. Sponsors often have deadlines for accepting these if prior approval is </w:t>
      </w:r>
      <w:r w:rsidR="00BC54DE" w:rsidRPr="001104AB">
        <w:rPr>
          <w:rFonts w:eastAsia="Times New Roman" w:cs="Arial"/>
          <w:sz w:val="22"/>
          <w:szCs w:val="22"/>
        </w:rPr>
        <w:t>required.</w:t>
      </w:r>
    </w:p>
    <w:p w:rsidR="005E0F23" w:rsidRPr="001104AB" w:rsidRDefault="005E0F23" w:rsidP="00A22EED">
      <w:pPr>
        <w:pStyle w:val="NoSpacing"/>
        <w:numPr>
          <w:ilvl w:val="0"/>
          <w:numId w:val="19"/>
        </w:numPr>
        <w:rPr>
          <w:rFonts w:eastAsia="Times New Roman" w:cs="Arial"/>
          <w:sz w:val="22"/>
          <w:szCs w:val="22"/>
        </w:rPr>
      </w:pPr>
      <w:r>
        <w:rPr>
          <w:rFonts w:eastAsia="Times New Roman" w:cs="Arial"/>
          <w:sz w:val="22"/>
          <w:szCs w:val="22"/>
        </w:rPr>
        <w:t>A post-award budget amendment form may need to be completed.  Consult the OSP</w:t>
      </w:r>
      <w:r w:rsidR="00862C12">
        <w:rPr>
          <w:rFonts w:eastAsia="Times New Roman" w:cs="Arial"/>
          <w:sz w:val="22"/>
          <w:szCs w:val="22"/>
        </w:rPr>
        <w:t>FR</w:t>
      </w:r>
      <w:r>
        <w:rPr>
          <w:rFonts w:eastAsia="Times New Roman" w:cs="Arial"/>
          <w:sz w:val="22"/>
          <w:szCs w:val="22"/>
        </w:rPr>
        <w:t xml:space="preserve"> and the Business Office for instructions.</w:t>
      </w:r>
    </w:p>
    <w:p w:rsidR="009928F9" w:rsidRPr="001104AB" w:rsidRDefault="009928F9">
      <w:pPr>
        <w:pStyle w:val="NoSpacing"/>
        <w:rPr>
          <w:rFonts w:eastAsia="Times New Roman" w:cs="Arial"/>
          <w:b/>
          <w:sz w:val="22"/>
          <w:szCs w:val="22"/>
        </w:rPr>
      </w:pPr>
    </w:p>
    <w:p w:rsidR="009928F9" w:rsidRPr="001104AB" w:rsidRDefault="009928F9">
      <w:pPr>
        <w:pStyle w:val="NoSpacing"/>
        <w:rPr>
          <w:rFonts w:eastAsia="Times New Roman" w:cs="Arial"/>
          <w:b/>
          <w:sz w:val="22"/>
          <w:szCs w:val="22"/>
        </w:rPr>
      </w:pPr>
      <w:r w:rsidRPr="001104AB">
        <w:rPr>
          <w:rFonts w:eastAsia="Times New Roman" w:cs="Arial"/>
          <w:b/>
          <w:sz w:val="22"/>
          <w:szCs w:val="22"/>
        </w:rPr>
        <w:t>Request No-Cost Extension</w:t>
      </w:r>
    </w:p>
    <w:p w:rsidR="002309A6" w:rsidRPr="001104AB" w:rsidRDefault="00E34079" w:rsidP="00022552">
      <w:pPr>
        <w:pStyle w:val="ListParagraph"/>
        <w:numPr>
          <w:ilvl w:val="0"/>
          <w:numId w:val="24"/>
        </w:numPr>
        <w:shd w:val="clear" w:color="auto" w:fill="FFFFFF"/>
        <w:spacing w:after="100" w:afterAutospacing="1" w:line="240" w:lineRule="auto"/>
        <w:rPr>
          <w:rFonts w:ascii="Book Antiqua" w:eastAsia="Times New Roman" w:hAnsi="Book Antiqua" w:cs="Helvetica"/>
        </w:rPr>
      </w:pPr>
      <w:r w:rsidRPr="001104AB">
        <w:rPr>
          <w:rFonts w:ascii="Book Antiqua" w:eastAsia="Times New Roman" w:hAnsi="Book Antiqua" w:cs="Helvetica"/>
        </w:rPr>
        <w:t>A no-cost extension extends the project period beyond</w:t>
      </w:r>
      <w:r w:rsidR="002309A6" w:rsidRPr="001104AB">
        <w:rPr>
          <w:rFonts w:ascii="Book Antiqua" w:eastAsia="Times New Roman" w:hAnsi="Book Antiqua" w:cs="Helvetica"/>
        </w:rPr>
        <w:t xml:space="preserve"> the original project end date. It must be prepared by the PI and endorsed and submitted by </w:t>
      </w:r>
      <w:r w:rsidR="00145397" w:rsidRPr="001104AB">
        <w:rPr>
          <w:rFonts w:ascii="Book Antiqua" w:eastAsia="Times New Roman" w:hAnsi="Book Antiqua" w:cs="Helvetica"/>
        </w:rPr>
        <w:t xml:space="preserve">the Business Office. </w:t>
      </w:r>
      <w:r w:rsidR="002309A6" w:rsidRPr="001104AB">
        <w:rPr>
          <w:rFonts w:ascii="Book Antiqua" w:eastAsia="Times New Roman" w:hAnsi="Book Antiqua" w:cs="Helvetica"/>
        </w:rPr>
        <w:t xml:space="preserve"> </w:t>
      </w:r>
    </w:p>
    <w:p w:rsidR="00E34079" w:rsidRPr="001104AB" w:rsidRDefault="002309A6" w:rsidP="00A22EED">
      <w:pPr>
        <w:pStyle w:val="ListParagraph"/>
        <w:numPr>
          <w:ilvl w:val="0"/>
          <w:numId w:val="24"/>
        </w:numPr>
        <w:shd w:val="clear" w:color="auto" w:fill="FFFFFF"/>
        <w:spacing w:before="100" w:beforeAutospacing="1" w:after="100" w:afterAutospacing="1" w:line="240" w:lineRule="auto"/>
        <w:rPr>
          <w:rFonts w:ascii="Book Antiqua" w:eastAsia="Times New Roman" w:hAnsi="Book Antiqua" w:cs="Helvetica"/>
        </w:rPr>
      </w:pPr>
      <w:r w:rsidRPr="001104AB">
        <w:rPr>
          <w:rFonts w:ascii="Book Antiqua" w:eastAsia="Times New Roman" w:hAnsi="Book Antiqua" w:cs="Helvetica"/>
        </w:rPr>
        <w:t xml:space="preserve">A no-cost extension </w:t>
      </w:r>
      <w:r w:rsidR="00E34079" w:rsidRPr="001104AB">
        <w:rPr>
          <w:rFonts w:ascii="Book Antiqua" w:eastAsia="Times New Roman" w:hAnsi="Book Antiqua" w:cs="Helvetica"/>
        </w:rPr>
        <w:t xml:space="preserve">may be requested </w:t>
      </w:r>
      <w:r w:rsidRPr="001104AB">
        <w:rPr>
          <w:rFonts w:ascii="Book Antiqua" w:eastAsia="Times New Roman" w:hAnsi="Book Antiqua" w:cs="Helvetica"/>
        </w:rPr>
        <w:t xml:space="preserve">from the sponsor </w:t>
      </w:r>
      <w:r w:rsidR="00E34079" w:rsidRPr="001104AB">
        <w:rPr>
          <w:rFonts w:ascii="Book Antiqua" w:eastAsia="Times New Roman" w:hAnsi="Book Antiqua" w:cs="Helvetica"/>
        </w:rPr>
        <w:t>when all three of the following conditions are met: the end of the project period is approaching, </w:t>
      </w:r>
      <w:r w:rsidR="00E34079" w:rsidRPr="001104AB">
        <w:rPr>
          <w:rFonts w:ascii="Book Antiqua" w:eastAsia="Times New Roman" w:hAnsi="Book Antiqua" w:cs="Helvetica"/>
          <w:bCs/>
        </w:rPr>
        <w:t>t</w:t>
      </w:r>
      <w:r w:rsidR="00E34079" w:rsidRPr="001104AB">
        <w:rPr>
          <w:rFonts w:ascii="Book Antiqua" w:eastAsia="Times New Roman" w:hAnsi="Book Antiqua" w:cs="Helvetica"/>
        </w:rPr>
        <w:t>here is a programmatic need to continue the research, </w:t>
      </w:r>
      <w:r w:rsidR="00E34079" w:rsidRPr="001104AB">
        <w:rPr>
          <w:rFonts w:ascii="Book Antiqua" w:eastAsia="Times New Roman" w:hAnsi="Book Antiqua" w:cs="Helvetica"/>
          <w:bCs/>
        </w:rPr>
        <w:t>AND t</w:t>
      </w:r>
      <w:r w:rsidR="00E34079" w:rsidRPr="001104AB">
        <w:rPr>
          <w:rFonts w:ascii="Book Antiqua" w:eastAsia="Times New Roman" w:hAnsi="Book Antiqua" w:cs="Helvetica"/>
        </w:rPr>
        <w:t>here are sufficient funds remaining to cover the extended effort.</w:t>
      </w:r>
      <w:r w:rsidRPr="001104AB">
        <w:rPr>
          <w:rFonts w:ascii="Book Antiqua" w:eastAsia="Times New Roman" w:hAnsi="Book Antiqua" w:cs="Helvetica"/>
        </w:rPr>
        <w:t xml:space="preserve"> An extension may not be requested for the sole purpose of spending remaining funds.</w:t>
      </w:r>
    </w:p>
    <w:p w:rsidR="009928F9" w:rsidRPr="001104AB" w:rsidRDefault="002309A6" w:rsidP="00A22EED">
      <w:pPr>
        <w:pStyle w:val="ListParagraph"/>
        <w:numPr>
          <w:ilvl w:val="0"/>
          <w:numId w:val="24"/>
        </w:numPr>
        <w:shd w:val="clear" w:color="auto" w:fill="FFFFFF"/>
        <w:spacing w:before="100" w:beforeAutospacing="1" w:after="100" w:afterAutospacing="1" w:line="240" w:lineRule="auto"/>
        <w:rPr>
          <w:rFonts w:eastAsia="Times New Roman" w:cs="Arial"/>
        </w:rPr>
      </w:pPr>
      <w:r w:rsidRPr="001104AB">
        <w:rPr>
          <w:rFonts w:ascii="Book Antiqua" w:eastAsia="Times New Roman" w:hAnsi="Book Antiqua" w:cs="Helvetica"/>
        </w:rPr>
        <w:t xml:space="preserve">A </w:t>
      </w:r>
      <w:r w:rsidR="00E34079" w:rsidRPr="001104AB">
        <w:rPr>
          <w:rFonts w:ascii="Book Antiqua" w:eastAsia="Times New Roman" w:hAnsi="Book Antiqua" w:cs="Helvetica"/>
        </w:rPr>
        <w:t xml:space="preserve">no-cost extension </w:t>
      </w:r>
      <w:r w:rsidRPr="001104AB">
        <w:rPr>
          <w:rFonts w:ascii="Book Antiqua" w:eastAsia="Times New Roman" w:hAnsi="Book Antiqua" w:cs="Helvetica"/>
        </w:rPr>
        <w:t xml:space="preserve">must be requested no less than </w:t>
      </w:r>
      <w:r w:rsidR="00145397" w:rsidRPr="001104AB">
        <w:rPr>
          <w:rFonts w:ascii="Book Antiqua" w:eastAsia="Times New Roman" w:hAnsi="Book Antiqua" w:cs="Helvetica"/>
        </w:rPr>
        <w:t>45</w:t>
      </w:r>
      <w:r w:rsidRPr="001104AB">
        <w:rPr>
          <w:rFonts w:ascii="Book Antiqua" w:eastAsia="Times New Roman" w:hAnsi="Book Antiqua" w:cs="Helvetica"/>
        </w:rPr>
        <w:t xml:space="preserve"> days before the end of the project period in order to give the </w:t>
      </w:r>
      <w:r w:rsidR="00145397" w:rsidRPr="001104AB">
        <w:rPr>
          <w:rFonts w:ascii="Book Antiqua" w:eastAsia="Times New Roman" w:hAnsi="Book Antiqua" w:cs="Helvetica"/>
        </w:rPr>
        <w:t>Business Office</w:t>
      </w:r>
      <w:r w:rsidRPr="001104AB">
        <w:rPr>
          <w:rFonts w:ascii="Book Antiqua" w:eastAsia="Times New Roman" w:hAnsi="Book Antiqua" w:cs="Helvetica"/>
        </w:rPr>
        <w:t xml:space="preserve"> enough time to process the request and submit it to the sponsor. </w:t>
      </w:r>
    </w:p>
    <w:p w:rsidR="005F5CEE" w:rsidRPr="001104AB" w:rsidRDefault="005F5CEE" w:rsidP="005F5CEE">
      <w:pPr>
        <w:pBdr>
          <w:bottom w:val="single" w:sz="6" w:space="1" w:color="auto"/>
        </w:pBdr>
        <w:shd w:val="clear" w:color="auto" w:fill="FFFFFF"/>
        <w:spacing w:before="100" w:beforeAutospacing="1" w:after="100" w:afterAutospacing="1" w:line="240" w:lineRule="auto"/>
        <w:rPr>
          <w:rFonts w:ascii="Book Antiqua" w:eastAsia="Times New Roman" w:hAnsi="Book Antiqua" w:cs="Arial"/>
          <w:b/>
        </w:rPr>
      </w:pPr>
      <w:r w:rsidRPr="001104AB">
        <w:rPr>
          <w:rFonts w:ascii="Book Antiqua" w:eastAsia="Times New Roman" w:hAnsi="Book Antiqua" w:cs="Arial"/>
          <w:b/>
        </w:rPr>
        <w:t>COMPLIANCE</w:t>
      </w:r>
    </w:p>
    <w:p w:rsidR="00F07C4E" w:rsidRPr="007E7AF7" w:rsidRDefault="00F07C4E" w:rsidP="002230AF">
      <w:pPr>
        <w:pStyle w:val="NoSpacing"/>
        <w:rPr>
          <w:rFonts w:eastAsia="Times New Roman" w:cs="Helvetica"/>
          <w:b/>
          <w:bCs/>
          <w:sz w:val="22"/>
          <w:szCs w:val="22"/>
        </w:rPr>
      </w:pPr>
      <w:r w:rsidRPr="007E7AF7">
        <w:rPr>
          <w:rFonts w:eastAsia="Times New Roman" w:cs="Helvetica"/>
          <w:b/>
          <w:bCs/>
          <w:sz w:val="22"/>
          <w:szCs w:val="22"/>
        </w:rPr>
        <w:t>Compensation Training</w:t>
      </w:r>
    </w:p>
    <w:p w:rsidR="00F07C4E" w:rsidRPr="00F07C4E" w:rsidRDefault="00F07C4E" w:rsidP="00F07C4E">
      <w:pPr>
        <w:pStyle w:val="NoSpacing"/>
        <w:numPr>
          <w:ilvl w:val="0"/>
          <w:numId w:val="32"/>
        </w:numPr>
        <w:rPr>
          <w:rFonts w:eastAsia="Times New Roman" w:cs="Helvetica"/>
          <w:bCs/>
          <w:sz w:val="22"/>
          <w:szCs w:val="22"/>
        </w:rPr>
      </w:pPr>
      <w:r w:rsidRPr="00F07C4E">
        <w:rPr>
          <w:rFonts w:eastAsia="Times New Roman" w:cs="Helvetica"/>
          <w:bCs/>
          <w:sz w:val="22"/>
          <w:szCs w:val="22"/>
        </w:rPr>
        <w:t>The PI must complete CITI Grant Compensation Training within 30 days of the start of award.</w:t>
      </w:r>
    </w:p>
    <w:p w:rsidR="00F07C4E" w:rsidRDefault="00F07C4E" w:rsidP="002230AF">
      <w:pPr>
        <w:pStyle w:val="NoSpacing"/>
        <w:rPr>
          <w:rFonts w:eastAsia="Times New Roman" w:cs="Helvetica"/>
          <w:b/>
          <w:bCs/>
          <w:sz w:val="22"/>
          <w:szCs w:val="22"/>
        </w:rPr>
      </w:pPr>
    </w:p>
    <w:p w:rsidR="005F5CEE" w:rsidRPr="001104AB" w:rsidRDefault="005F5CEE" w:rsidP="002230AF">
      <w:pPr>
        <w:pStyle w:val="NoSpacing"/>
        <w:rPr>
          <w:rFonts w:eastAsia="Times New Roman" w:cs="Helvetica"/>
          <w:sz w:val="22"/>
          <w:szCs w:val="22"/>
        </w:rPr>
      </w:pPr>
      <w:r w:rsidRPr="001104AB">
        <w:rPr>
          <w:rFonts w:eastAsia="Times New Roman" w:cs="Helvetica"/>
          <w:b/>
          <w:bCs/>
          <w:sz w:val="22"/>
          <w:szCs w:val="22"/>
        </w:rPr>
        <w:t xml:space="preserve">Conflict of Interest (COI) Training and </w:t>
      </w:r>
      <w:r w:rsidR="006A4544" w:rsidRPr="001104AB">
        <w:rPr>
          <w:rFonts w:eastAsia="Times New Roman" w:cs="Helvetica"/>
          <w:b/>
          <w:bCs/>
          <w:sz w:val="22"/>
          <w:szCs w:val="22"/>
        </w:rPr>
        <w:t xml:space="preserve">Financial Conflict of Interest (FCOI) </w:t>
      </w:r>
      <w:r w:rsidRPr="001104AB">
        <w:rPr>
          <w:rFonts w:eastAsia="Times New Roman" w:cs="Helvetica"/>
          <w:b/>
          <w:bCs/>
          <w:sz w:val="22"/>
          <w:szCs w:val="22"/>
        </w:rPr>
        <w:t>Disclosure</w:t>
      </w:r>
    </w:p>
    <w:p w:rsidR="00DE0E9D" w:rsidRPr="001104AB" w:rsidRDefault="005F5CEE" w:rsidP="00A22EED">
      <w:pPr>
        <w:pStyle w:val="NoSpacing"/>
        <w:numPr>
          <w:ilvl w:val="0"/>
          <w:numId w:val="20"/>
        </w:numPr>
        <w:rPr>
          <w:sz w:val="22"/>
          <w:szCs w:val="22"/>
        </w:rPr>
      </w:pPr>
      <w:r w:rsidRPr="001104AB">
        <w:rPr>
          <w:rFonts w:eastAsia="Times New Roman" w:cs="Helvetica"/>
          <w:sz w:val="22"/>
          <w:szCs w:val="22"/>
        </w:rPr>
        <w:t>The PI must complete</w:t>
      </w:r>
      <w:r w:rsidR="00FA1D44" w:rsidRPr="001104AB">
        <w:rPr>
          <w:rFonts w:eastAsia="Times New Roman" w:cs="Helvetica"/>
          <w:sz w:val="22"/>
          <w:szCs w:val="22"/>
        </w:rPr>
        <w:t xml:space="preserve"> or renew</w:t>
      </w:r>
      <w:r w:rsidRPr="001104AB">
        <w:rPr>
          <w:rFonts w:eastAsia="Times New Roman" w:cs="Helvetica"/>
          <w:sz w:val="22"/>
          <w:szCs w:val="22"/>
        </w:rPr>
        <w:t xml:space="preserve"> COI training</w:t>
      </w:r>
      <w:r w:rsidR="00AB74A5" w:rsidRPr="001104AB">
        <w:rPr>
          <w:rFonts w:eastAsia="Times New Roman" w:cs="Helvetica"/>
          <w:sz w:val="22"/>
          <w:szCs w:val="22"/>
        </w:rPr>
        <w:t xml:space="preserve"> every 4 years</w:t>
      </w:r>
      <w:r w:rsidRPr="001104AB">
        <w:rPr>
          <w:rFonts w:eastAsia="Times New Roman" w:cs="Helvetica"/>
          <w:sz w:val="22"/>
          <w:szCs w:val="22"/>
        </w:rPr>
        <w:t xml:space="preserve"> </w:t>
      </w:r>
      <w:r w:rsidR="00FA1D44" w:rsidRPr="001104AB">
        <w:rPr>
          <w:rFonts w:eastAsia="Times New Roman" w:cs="Helvetica"/>
          <w:sz w:val="22"/>
          <w:szCs w:val="22"/>
        </w:rPr>
        <w:t>as well as</w:t>
      </w:r>
      <w:r w:rsidRPr="001104AB">
        <w:rPr>
          <w:rFonts w:eastAsia="Times New Roman" w:cs="Helvetica"/>
          <w:sz w:val="22"/>
          <w:szCs w:val="22"/>
        </w:rPr>
        <w:t xml:space="preserve"> </w:t>
      </w:r>
      <w:r w:rsidR="006A4544" w:rsidRPr="001104AB">
        <w:rPr>
          <w:rFonts w:eastAsia="Times New Roman" w:cs="Helvetica"/>
          <w:sz w:val="22"/>
          <w:szCs w:val="22"/>
        </w:rPr>
        <w:t xml:space="preserve">making </w:t>
      </w:r>
      <w:r w:rsidRPr="001104AB">
        <w:rPr>
          <w:rFonts w:eastAsia="Times New Roman" w:cs="Helvetica"/>
          <w:sz w:val="22"/>
          <w:szCs w:val="22"/>
        </w:rPr>
        <w:t>periodic disclosures</w:t>
      </w:r>
      <w:r w:rsidR="00FA1D44" w:rsidRPr="001104AB">
        <w:rPr>
          <w:rFonts w:eastAsia="Times New Roman" w:cs="Helvetica"/>
          <w:sz w:val="22"/>
          <w:szCs w:val="22"/>
        </w:rPr>
        <w:t xml:space="preserve"> of any Significant Financial Interests (SFI).</w:t>
      </w:r>
    </w:p>
    <w:p w:rsidR="005F5CEE" w:rsidRPr="001104AB" w:rsidRDefault="005F5CEE" w:rsidP="00A22EED">
      <w:pPr>
        <w:pStyle w:val="NoSpacing"/>
        <w:ind w:left="720"/>
        <w:rPr>
          <w:sz w:val="22"/>
          <w:szCs w:val="22"/>
        </w:rPr>
      </w:pPr>
    </w:p>
    <w:p w:rsidR="005F5CEE" w:rsidRPr="001104AB" w:rsidRDefault="005F5CEE" w:rsidP="002230AF">
      <w:pPr>
        <w:pStyle w:val="NoSpacing"/>
        <w:rPr>
          <w:rFonts w:eastAsia="Times New Roman" w:cs="Arial"/>
          <w:b/>
          <w:sz w:val="22"/>
          <w:szCs w:val="22"/>
        </w:rPr>
      </w:pPr>
      <w:r w:rsidRPr="001104AB">
        <w:rPr>
          <w:rFonts w:eastAsia="Times New Roman" w:cs="Arial"/>
          <w:b/>
          <w:sz w:val="22"/>
          <w:szCs w:val="22"/>
        </w:rPr>
        <w:t>R</w:t>
      </w:r>
      <w:r w:rsidR="00B80CF3" w:rsidRPr="001104AB">
        <w:rPr>
          <w:rFonts w:eastAsia="Times New Roman" w:cs="Arial"/>
          <w:b/>
          <w:sz w:val="22"/>
          <w:szCs w:val="22"/>
        </w:rPr>
        <w:t>esponsible Conduct of Research</w:t>
      </w:r>
    </w:p>
    <w:p w:rsidR="005F5CEE" w:rsidRPr="001104AB" w:rsidRDefault="005F5CEE" w:rsidP="00A22EED">
      <w:pPr>
        <w:pStyle w:val="NoSpacing"/>
        <w:numPr>
          <w:ilvl w:val="0"/>
          <w:numId w:val="20"/>
        </w:numPr>
        <w:rPr>
          <w:sz w:val="22"/>
          <w:szCs w:val="22"/>
        </w:rPr>
      </w:pPr>
      <w:r w:rsidRPr="001104AB">
        <w:rPr>
          <w:sz w:val="22"/>
          <w:szCs w:val="22"/>
        </w:rPr>
        <w:t>It is the PI’s responsibility to ensure that students complete RCR training if required by the granting agency.</w:t>
      </w:r>
    </w:p>
    <w:p w:rsidR="005F5CEE" w:rsidRPr="001104AB" w:rsidRDefault="005F5CEE" w:rsidP="00232E12">
      <w:pPr>
        <w:pStyle w:val="NoSpacing"/>
        <w:ind w:left="720"/>
        <w:rPr>
          <w:sz w:val="22"/>
          <w:szCs w:val="22"/>
        </w:rPr>
      </w:pPr>
    </w:p>
    <w:p w:rsidR="005F5CEE" w:rsidRPr="001104AB" w:rsidRDefault="005F5CEE" w:rsidP="002230AF">
      <w:pPr>
        <w:pStyle w:val="NoSpacing"/>
        <w:rPr>
          <w:sz w:val="22"/>
          <w:szCs w:val="22"/>
        </w:rPr>
      </w:pPr>
      <w:r w:rsidRPr="001104AB">
        <w:rPr>
          <w:b/>
          <w:sz w:val="22"/>
          <w:szCs w:val="22"/>
        </w:rPr>
        <w:t>IRB/IACUC</w:t>
      </w:r>
      <w:r w:rsidR="00B80CF3" w:rsidRPr="001104AB">
        <w:rPr>
          <w:sz w:val="22"/>
          <w:szCs w:val="22"/>
        </w:rPr>
        <w:t xml:space="preserve"> </w:t>
      </w:r>
      <w:r w:rsidR="00B80CF3" w:rsidRPr="001104AB">
        <w:rPr>
          <w:b/>
          <w:sz w:val="22"/>
          <w:szCs w:val="22"/>
        </w:rPr>
        <w:t>Approval</w:t>
      </w:r>
    </w:p>
    <w:p w:rsidR="004B791E" w:rsidRPr="001104AB" w:rsidRDefault="006A4544" w:rsidP="00A22EED">
      <w:pPr>
        <w:pStyle w:val="NoSpacing"/>
        <w:numPr>
          <w:ilvl w:val="0"/>
          <w:numId w:val="20"/>
        </w:numPr>
        <w:rPr>
          <w:sz w:val="22"/>
          <w:szCs w:val="22"/>
        </w:rPr>
      </w:pPr>
      <w:r w:rsidRPr="001104AB">
        <w:rPr>
          <w:sz w:val="22"/>
          <w:szCs w:val="22"/>
        </w:rPr>
        <w:t>If IRB/IACUC approval is necessary, s</w:t>
      </w:r>
      <w:r w:rsidR="005F5CEE" w:rsidRPr="001104AB">
        <w:rPr>
          <w:sz w:val="22"/>
          <w:szCs w:val="22"/>
        </w:rPr>
        <w:t>ubmit approval letter to OSP</w:t>
      </w:r>
      <w:r w:rsidR="00862C12">
        <w:rPr>
          <w:sz w:val="22"/>
          <w:szCs w:val="22"/>
        </w:rPr>
        <w:t>FR</w:t>
      </w:r>
    </w:p>
    <w:p w:rsidR="005F5CEE" w:rsidRDefault="004B791E" w:rsidP="00A22EED">
      <w:pPr>
        <w:pStyle w:val="NoSpacing"/>
        <w:numPr>
          <w:ilvl w:val="0"/>
          <w:numId w:val="20"/>
        </w:numPr>
        <w:rPr>
          <w:sz w:val="22"/>
          <w:szCs w:val="22"/>
        </w:rPr>
      </w:pPr>
      <w:r w:rsidRPr="001104AB">
        <w:rPr>
          <w:sz w:val="22"/>
          <w:szCs w:val="22"/>
        </w:rPr>
        <w:t>E</w:t>
      </w:r>
      <w:r w:rsidR="005F5CEE" w:rsidRPr="001104AB">
        <w:rPr>
          <w:sz w:val="22"/>
          <w:szCs w:val="22"/>
        </w:rPr>
        <w:t>nsure that IRB/IACUC approval remains valid through the full grant period.</w:t>
      </w:r>
    </w:p>
    <w:p w:rsidR="00CF3387" w:rsidRPr="001104AB" w:rsidRDefault="00CF3387" w:rsidP="00A22EED">
      <w:pPr>
        <w:pStyle w:val="NoSpacing"/>
        <w:numPr>
          <w:ilvl w:val="0"/>
          <w:numId w:val="20"/>
        </w:numPr>
        <w:rPr>
          <w:sz w:val="22"/>
          <w:szCs w:val="22"/>
        </w:rPr>
      </w:pPr>
      <w:r>
        <w:rPr>
          <w:sz w:val="22"/>
          <w:szCs w:val="22"/>
        </w:rPr>
        <w:t xml:space="preserve">For grants that offer general research opportunities for students, it is important to alert the funder (NIH or NSF) if students choose to work on projects that require IRB/IACUC approval.  Federal approval </w:t>
      </w:r>
      <w:r w:rsidRPr="00CF3387">
        <w:rPr>
          <w:sz w:val="22"/>
          <w:szCs w:val="22"/>
          <w:u w:val="single"/>
        </w:rPr>
        <w:t>is</w:t>
      </w:r>
      <w:r>
        <w:rPr>
          <w:sz w:val="22"/>
          <w:szCs w:val="22"/>
        </w:rPr>
        <w:t xml:space="preserve"> required prior to commencing the research project.</w:t>
      </w:r>
    </w:p>
    <w:p w:rsidR="00700CED" w:rsidRPr="001104AB" w:rsidRDefault="00700CED" w:rsidP="00700CED">
      <w:pPr>
        <w:pStyle w:val="NoSpacing"/>
        <w:ind w:left="720"/>
        <w:rPr>
          <w:sz w:val="22"/>
          <w:szCs w:val="22"/>
        </w:rPr>
      </w:pPr>
    </w:p>
    <w:p w:rsidR="00700CED" w:rsidRPr="001104AB" w:rsidRDefault="00700CED" w:rsidP="00700CED">
      <w:pPr>
        <w:pStyle w:val="NoSpacing"/>
        <w:rPr>
          <w:b/>
          <w:sz w:val="22"/>
          <w:szCs w:val="22"/>
        </w:rPr>
      </w:pPr>
      <w:r w:rsidRPr="001104AB">
        <w:rPr>
          <w:b/>
          <w:sz w:val="22"/>
          <w:szCs w:val="22"/>
        </w:rPr>
        <w:t>Sexual Harassment Guidance</w:t>
      </w:r>
    </w:p>
    <w:p w:rsidR="00182A52" w:rsidRPr="001104AB" w:rsidRDefault="00182A52" w:rsidP="00182A52">
      <w:pPr>
        <w:pStyle w:val="NoSpacing"/>
        <w:numPr>
          <w:ilvl w:val="0"/>
          <w:numId w:val="29"/>
        </w:numPr>
        <w:rPr>
          <w:b/>
          <w:bCs/>
          <w:sz w:val="22"/>
          <w:szCs w:val="22"/>
        </w:rPr>
      </w:pPr>
      <w:r w:rsidRPr="001104AB">
        <w:rPr>
          <w:sz w:val="22"/>
          <w:szCs w:val="22"/>
        </w:rPr>
        <w:t>Any PI or co-PI on a federal grant</w:t>
      </w:r>
      <w:r w:rsidR="00640E08" w:rsidRPr="001104AB">
        <w:rPr>
          <w:sz w:val="22"/>
          <w:szCs w:val="22"/>
        </w:rPr>
        <w:t xml:space="preserve"> through Fisher</w:t>
      </w:r>
      <w:r w:rsidRPr="001104AB">
        <w:rPr>
          <w:sz w:val="22"/>
          <w:szCs w:val="22"/>
        </w:rPr>
        <w:t xml:space="preserve"> must </w:t>
      </w:r>
      <w:r w:rsidR="0094295C">
        <w:rPr>
          <w:sz w:val="22"/>
          <w:szCs w:val="22"/>
        </w:rPr>
        <w:t>meet with the Title IX officer to learn how to</w:t>
      </w:r>
      <w:r w:rsidRPr="001104AB">
        <w:rPr>
          <w:sz w:val="22"/>
          <w:szCs w:val="22"/>
        </w:rPr>
        <w:t xml:space="preserve"> comply with NSF</w:t>
      </w:r>
      <w:r w:rsidR="005E0F23">
        <w:rPr>
          <w:sz w:val="22"/>
          <w:szCs w:val="22"/>
        </w:rPr>
        <w:t>,</w:t>
      </w:r>
      <w:r w:rsidRPr="001104AB">
        <w:rPr>
          <w:sz w:val="22"/>
          <w:szCs w:val="22"/>
        </w:rPr>
        <w:t xml:space="preserve"> NIH</w:t>
      </w:r>
      <w:r w:rsidR="005E0F23">
        <w:rPr>
          <w:sz w:val="22"/>
          <w:szCs w:val="22"/>
        </w:rPr>
        <w:t>, and NOAA</w:t>
      </w:r>
      <w:r w:rsidRPr="001104AB">
        <w:rPr>
          <w:sz w:val="22"/>
          <w:szCs w:val="22"/>
        </w:rPr>
        <w:t xml:space="preserve"> policy and guidance.</w:t>
      </w:r>
    </w:p>
    <w:p w:rsidR="005F5CEE" w:rsidRPr="001104AB" w:rsidRDefault="005F5CEE" w:rsidP="002230AF">
      <w:pPr>
        <w:pStyle w:val="NoSpacing"/>
        <w:rPr>
          <w:sz w:val="22"/>
          <w:szCs w:val="22"/>
        </w:rPr>
      </w:pPr>
    </w:p>
    <w:p w:rsidR="00182A52" w:rsidRPr="001104AB" w:rsidRDefault="00862C12" w:rsidP="002230AF">
      <w:pPr>
        <w:pStyle w:val="NoSpacing"/>
        <w:rPr>
          <w:b/>
          <w:sz w:val="22"/>
          <w:szCs w:val="22"/>
        </w:rPr>
      </w:pPr>
      <w:r>
        <w:rPr>
          <w:b/>
          <w:sz w:val="22"/>
          <w:szCs w:val="22"/>
        </w:rPr>
        <w:lastRenderedPageBreak/>
        <w:br/>
      </w:r>
      <w:r>
        <w:rPr>
          <w:b/>
          <w:sz w:val="22"/>
          <w:szCs w:val="22"/>
        </w:rPr>
        <w:br/>
      </w:r>
      <w:bookmarkStart w:id="0" w:name="_GoBack"/>
      <w:bookmarkEnd w:id="0"/>
      <w:r w:rsidR="00182A52" w:rsidRPr="001104AB">
        <w:rPr>
          <w:b/>
          <w:sz w:val="22"/>
          <w:szCs w:val="22"/>
        </w:rPr>
        <w:t>NIH Assurance</w:t>
      </w:r>
    </w:p>
    <w:p w:rsidR="00182A52" w:rsidRPr="001104AB" w:rsidRDefault="00640E08" w:rsidP="00182A52">
      <w:pPr>
        <w:pStyle w:val="NoSpacing"/>
        <w:numPr>
          <w:ilvl w:val="0"/>
          <w:numId w:val="28"/>
        </w:numPr>
        <w:rPr>
          <w:sz w:val="22"/>
          <w:szCs w:val="22"/>
        </w:rPr>
      </w:pPr>
      <w:r w:rsidRPr="001104AB">
        <w:rPr>
          <w:sz w:val="22"/>
          <w:szCs w:val="22"/>
        </w:rPr>
        <w:t>In lieu of a signature, the NIH requires that Fisher secure and retain a written assurance from the PI or PD prior to submitting an application, a progress report, or a prior approval request.</w:t>
      </w:r>
    </w:p>
    <w:p w:rsidR="00182A52" w:rsidRPr="001104AB" w:rsidRDefault="00182A52" w:rsidP="002230AF">
      <w:pPr>
        <w:pStyle w:val="NoSpacing"/>
        <w:rPr>
          <w:b/>
          <w:sz w:val="22"/>
          <w:szCs w:val="22"/>
        </w:rPr>
      </w:pPr>
    </w:p>
    <w:p w:rsidR="005F5CEE" w:rsidRPr="001104AB" w:rsidRDefault="005F5CEE" w:rsidP="002230AF">
      <w:pPr>
        <w:pStyle w:val="NoSpacing"/>
        <w:rPr>
          <w:b/>
          <w:sz w:val="22"/>
          <w:szCs w:val="22"/>
        </w:rPr>
      </w:pPr>
      <w:r w:rsidRPr="001104AB">
        <w:rPr>
          <w:b/>
          <w:sz w:val="22"/>
          <w:szCs w:val="22"/>
        </w:rPr>
        <w:t>Property Management</w:t>
      </w:r>
    </w:p>
    <w:p w:rsidR="00DE0ACF" w:rsidRDefault="00DE0ACF" w:rsidP="00DE0ACF">
      <w:pPr>
        <w:pStyle w:val="NoSpacing"/>
        <w:numPr>
          <w:ilvl w:val="0"/>
          <w:numId w:val="20"/>
        </w:numPr>
        <w:rPr>
          <w:sz w:val="22"/>
          <w:szCs w:val="22"/>
        </w:rPr>
      </w:pPr>
      <w:r>
        <w:rPr>
          <w:sz w:val="22"/>
          <w:szCs w:val="22"/>
        </w:rPr>
        <w:t xml:space="preserve">At the end of the period of performance, but no later than the closeout period, the PI must report on property using the property forms (SF-428/SF-429 forms) located at </w:t>
      </w:r>
      <w:hyperlink r:id="rId6" w:anchor="sortby=1" w:history="1">
        <w:r w:rsidRPr="001E5BAE">
          <w:rPr>
            <w:rStyle w:val="Hyperlink"/>
            <w:sz w:val="22"/>
            <w:szCs w:val="22"/>
          </w:rPr>
          <w:t>https://www.grants.gov/web/grants/forms/post-award-reporting-forms.html#sortby=1</w:t>
        </w:r>
      </w:hyperlink>
      <w:r>
        <w:rPr>
          <w:sz w:val="22"/>
          <w:szCs w:val="22"/>
        </w:rPr>
        <w:t>. Such property shall include real property, federally owned and exempt property, equipment acquired with grant funds, and residual inventory of unused supplies exceeding $5,000 in total aggregate value.</w:t>
      </w:r>
    </w:p>
    <w:p w:rsidR="00DE0ACF" w:rsidRDefault="00DE0ACF" w:rsidP="00DE0ACF">
      <w:pPr>
        <w:pStyle w:val="NoSpacing"/>
        <w:ind w:left="720"/>
        <w:rPr>
          <w:sz w:val="22"/>
          <w:szCs w:val="22"/>
        </w:rPr>
      </w:pPr>
    </w:p>
    <w:p w:rsidR="005F5CEE" w:rsidRDefault="005F5CEE" w:rsidP="00A22EED">
      <w:pPr>
        <w:pStyle w:val="NoSpacing"/>
        <w:numPr>
          <w:ilvl w:val="0"/>
          <w:numId w:val="20"/>
        </w:numPr>
        <w:rPr>
          <w:sz w:val="22"/>
          <w:szCs w:val="22"/>
        </w:rPr>
      </w:pPr>
      <w:r w:rsidRPr="001104AB">
        <w:rPr>
          <w:sz w:val="22"/>
          <w:szCs w:val="22"/>
        </w:rPr>
        <w:t>Follow Property Management Standards and Procedures</w:t>
      </w:r>
      <w:r w:rsidR="00ED605C" w:rsidRPr="001104AB">
        <w:rPr>
          <w:sz w:val="22"/>
          <w:szCs w:val="22"/>
        </w:rPr>
        <w:t xml:space="preserve"> for federally funded equipment by labeling and tracking all equipment (&gt;$5,000 value) purchased with grant funds.</w:t>
      </w:r>
    </w:p>
    <w:p w:rsidR="00DE0ACF" w:rsidRDefault="00DE0ACF" w:rsidP="00DE0ACF">
      <w:pPr>
        <w:pStyle w:val="NoSpacing"/>
        <w:numPr>
          <w:ilvl w:val="0"/>
          <w:numId w:val="20"/>
        </w:numPr>
        <w:rPr>
          <w:sz w:val="22"/>
          <w:szCs w:val="22"/>
        </w:rPr>
      </w:pPr>
      <w:r>
        <w:rPr>
          <w:sz w:val="22"/>
          <w:szCs w:val="22"/>
        </w:rPr>
        <w:t>If the PI wants to dispose of grant-funded property with a value of &gt;$5,000, property disposition instructions must be requested from the funder.</w:t>
      </w:r>
    </w:p>
    <w:p w:rsidR="00B80CF3" w:rsidRPr="001104AB" w:rsidRDefault="00B80CF3" w:rsidP="00232E12">
      <w:pPr>
        <w:pStyle w:val="NoSpacing"/>
        <w:ind w:left="360"/>
        <w:rPr>
          <w:sz w:val="22"/>
          <w:szCs w:val="22"/>
        </w:rPr>
      </w:pPr>
    </w:p>
    <w:p w:rsidR="000344CA" w:rsidRPr="001104AB" w:rsidRDefault="000344CA" w:rsidP="002230AF">
      <w:pPr>
        <w:pStyle w:val="ListParagraph"/>
        <w:shd w:val="clear" w:color="auto" w:fill="FFFFFF"/>
        <w:spacing w:after="120" w:line="240" w:lineRule="auto"/>
        <w:ind w:left="0"/>
        <w:rPr>
          <w:rFonts w:ascii="Book Antiqua" w:eastAsia="Times New Roman" w:hAnsi="Book Antiqua" w:cs="Helvetica"/>
          <w:b/>
        </w:rPr>
      </w:pPr>
      <w:r w:rsidRPr="001104AB">
        <w:rPr>
          <w:rFonts w:ascii="Book Antiqua" w:eastAsia="Times New Roman" w:hAnsi="Book Antiqua" w:cs="Helvetica"/>
          <w:b/>
        </w:rPr>
        <w:t>Other Support</w:t>
      </w:r>
    </w:p>
    <w:p w:rsidR="000344CA" w:rsidRPr="001104AB" w:rsidRDefault="000344CA" w:rsidP="000344CA">
      <w:pPr>
        <w:pStyle w:val="ListParagraph"/>
        <w:numPr>
          <w:ilvl w:val="0"/>
          <w:numId w:val="20"/>
        </w:numPr>
        <w:shd w:val="clear" w:color="auto" w:fill="FFFFFF"/>
        <w:spacing w:after="120" w:line="240" w:lineRule="auto"/>
        <w:rPr>
          <w:rFonts w:ascii="Book Antiqua" w:eastAsia="Times New Roman" w:hAnsi="Book Antiqua" w:cs="Helvetica"/>
        </w:rPr>
      </w:pPr>
      <w:r w:rsidRPr="001104AB">
        <w:rPr>
          <w:rFonts w:ascii="Book Antiqua" w:hAnsi="Book Antiqua" w:cs="Helvetica"/>
          <w:shd w:val="clear" w:color="auto" w:fill="FFFFFF"/>
        </w:rPr>
        <w:t>Do not submit additional proposals to secure funding for the current project.</w:t>
      </w:r>
    </w:p>
    <w:p w:rsidR="000344CA" w:rsidRPr="001104AB" w:rsidRDefault="000344CA" w:rsidP="002230AF">
      <w:pPr>
        <w:pStyle w:val="ListParagraph"/>
        <w:shd w:val="clear" w:color="auto" w:fill="FFFFFF"/>
        <w:spacing w:after="120" w:line="240" w:lineRule="auto"/>
        <w:ind w:left="0"/>
        <w:rPr>
          <w:rFonts w:ascii="Book Antiqua" w:eastAsia="Times New Roman" w:hAnsi="Book Antiqua" w:cs="Helvetica"/>
          <w:b/>
        </w:rPr>
      </w:pPr>
    </w:p>
    <w:p w:rsidR="005F5CEE" w:rsidRPr="001104AB" w:rsidRDefault="00EE1F36" w:rsidP="002230AF">
      <w:pPr>
        <w:pStyle w:val="ListParagraph"/>
        <w:shd w:val="clear" w:color="auto" w:fill="FFFFFF"/>
        <w:spacing w:after="120" w:line="240" w:lineRule="auto"/>
        <w:ind w:left="0"/>
        <w:rPr>
          <w:rFonts w:ascii="Book Antiqua" w:eastAsia="Times New Roman" w:hAnsi="Book Antiqua" w:cs="Helvetica"/>
        </w:rPr>
      </w:pPr>
      <w:r w:rsidRPr="001104AB">
        <w:rPr>
          <w:rFonts w:ascii="Book Antiqua" w:eastAsia="Times New Roman" w:hAnsi="Book Antiqua" w:cs="Helvetica"/>
          <w:b/>
        </w:rPr>
        <w:t>Dissemination/Publications</w:t>
      </w:r>
    </w:p>
    <w:p w:rsidR="00737963" w:rsidRPr="009A0D6D" w:rsidRDefault="009A0D6D" w:rsidP="009A0D6D">
      <w:pPr>
        <w:pStyle w:val="ListParagraph"/>
        <w:numPr>
          <w:ilvl w:val="0"/>
          <w:numId w:val="20"/>
        </w:numPr>
        <w:shd w:val="clear" w:color="auto" w:fill="FFFFFF"/>
        <w:spacing w:before="120" w:after="0" w:line="240" w:lineRule="auto"/>
        <w:rPr>
          <w:rFonts w:ascii="Book Antiqua" w:eastAsia="Times New Roman" w:hAnsi="Book Antiqua" w:cs="Helvetica"/>
          <w:b/>
        </w:rPr>
      </w:pPr>
      <w:r w:rsidRPr="001104AB">
        <w:rPr>
          <w:rFonts w:ascii="Book Antiqua" w:eastAsia="Times New Roman" w:hAnsi="Book Antiqua" w:cs="Helvetica"/>
        </w:rPr>
        <w:t>Compliance with any applicable public access policy is required, including but not limited to publications resulting from research supported by the </w:t>
      </w:r>
      <w:r w:rsidRPr="001104AB">
        <w:rPr>
          <w:rFonts w:ascii="Book Antiqua" w:eastAsia="Times New Roman" w:hAnsi="Book Antiqua" w:cs="Helvetica"/>
          <w:bCs/>
        </w:rPr>
        <w:t>National Institutes of Health</w:t>
      </w:r>
      <w:r>
        <w:rPr>
          <w:rFonts w:ascii="Book Antiqua" w:eastAsia="Times New Roman" w:hAnsi="Book Antiqua" w:cs="Helvetica"/>
          <w:bCs/>
        </w:rPr>
        <w:t xml:space="preserve"> (NIH),</w:t>
      </w:r>
      <w:r w:rsidRPr="001104AB">
        <w:rPr>
          <w:rFonts w:ascii="Book Antiqua" w:eastAsia="Times New Roman" w:hAnsi="Book Antiqua" w:cs="Helvetica"/>
        </w:rPr>
        <w:t xml:space="preserve"> the </w:t>
      </w:r>
      <w:r w:rsidRPr="001104AB">
        <w:rPr>
          <w:rFonts w:ascii="Book Antiqua" w:eastAsia="Times New Roman" w:hAnsi="Book Antiqua" w:cs="Helvetica"/>
          <w:bCs/>
        </w:rPr>
        <w:t>National Science Foundation</w:t>
      </w:r>
      <w:r>
        <w:rPr>
          <w:rFonts w:ascii="Book Antiqua" w:eastAsia="Times New Roman" w:hAnsi="Book Antiqua" w:cs="Helvetica"/>
          <w:bCs/>
        </w:rPr>
        <w:t xml:space="preserve"> (NSF), and the National Oceanic and Atmospheric Administration (NOAA)</w:t>
      </w:r>
      <w:r w:rsidRPr="001104AB">
        <w:rPr>
          <w:rFonts w:ascii="Book Antiqua" w:eastAsia="Times New Roman" w:hAnsi="Book Antiqua" w:cs="Helvetica"/>
        </w:rPr>
        <w:t xml:space="preserve">. </w:t>
      </w:r>
      <w:r>
        <w:rPr>
          <w:rFonts w:ascii="Book Antiqua" w:eastAsia="Times New Roman" w:hAnsi="Book Antiqua" w:cs="Helvetica"/>
        </w:rPr>
        <w:t>The</w:t>
      </w:r>
      <w:r w:rsidRPr="001104AB">
        <w:rPr>
          <w:rFonts w:ascii="Book Antiqua" w:eastAsia="Times New Roman" w:hAnsi="Book Antiqua" w:cs="Helvetica"/>
        </w:rPr>
        <w:t xml:space="preserve"> NIH</w:t>
      </w:r>
      <w:r>
        <w:rPr>
          <w:rFonts w:ascii="Book Antiqua" w:eastAsia="Times New Roman" w:hAnsi="Book Antiqua" w:cs="Helvetica"/>
        </w:rPr>
        <w:t xml:space="preserve">, </w:t>
      </w:r>
      <w:r w:rsidRPr="001104AB">
        <w:rPr>
          <w:rFonts w:ascii="Book Antiqua" w:eastAsia="Times New Roman" w:hAnsi="Book Antiqua" w:cs="Helvetica"/>
        </w:rPr>
        <w:t>NSF</w:t>
      </w:r>
      <w:r>
        <w:rPr>
          <w:rFonts w:ascii="Book Antiqua" w:eastAsia="Times New Roman" w:hAnsi="Book Antiqua" w:cs="Helvetica"/>
        </w:rPr>
        <w:t>, and NOAA</w:t>
      </w:r>
      <w:r w:rsidRPr="001104AB">
        <w:rPr>
          <w:rFonts w:ascii="Book Antiqua" w:eastAsia="Times New Roman" w:hAnsi="Book Antiqua" w:cs="Helvetica"/>
        </w:rPr>
        <w:t xml:space="preserve"> require that an electronic version of their final manuscript be made publically available in a designated repository within 12 months after the official date of publication; more details can be found on the NSF</w:t>
      </w:r>
      <w:r>
        <w:rPr>
          <w:rFonts w:ascii="Book Antiqua" w:eastAsia="Times New Roman" w:hAnsi="Book Antiqua" w:cs="Helvetica"/>
        </w:rPr>
        <w:t>,</w:t>
      </w:r>
      <w:r w:rsidRPr="001104AB">
        <w:rPr>
          <w:rFonts w:ascii="Book Antiqua" w:eastAsia="Times New Roman" w:hAnsi="Book Antiqua" w:cs="Helvetica"/>
        </w:rPr>
        <w:t xml:space="preserve"> NIH</w:t>
      </w:r>
      <w:r>
        <w:rPr>
          <w:rFonts w:ascii="Book Antiqua" w:eastAsia="Times New Roman" w:hAnsi="Book Antiqua" w:cs="Helvetica"/>
        </w:rPr>
        <w:t>, and NOAA</w:t>
      </w:r>
      <w:r w:rsidRPr="001104AB">
        <w:rPr>
          <w:rFonts w:ascii="Book Antiqua" w:eastAsia="Times New Roman" w:hAnsi="Book Antiqua" w:cs="Helvetica"/>
        </w:rPr>
        <w:t xml:space="preserve"> websites.</w:t>
      </w:r>
    </w:p>
    <w:p w:rsidR="009A0D6D" w:rsidRPr="001104AB" w:rsidRDefault="009A0D6D" w:rsidP="009A0D6D">
      <w:pPr>
        <w:pStyle w:val="ListParagraph"/>
        <w:numPr>
          <w:ilvl w:val="0"/>
          <w:numId w:val="20"/>
        </w:numPr>
        <w:shd w:val="clear" w:color="auto" w:fill="FFFFFF"/>
        <w:spacing w:after="120" w:line="240" w:lineRule="auto"/>
        <w:rPr>
          <w:rFonts w:ascii="Book Antiqua" w:eastAsia="Times New Roman" w:hAnsi="Book Antiqua" w:cs="Helvetica"/>
        </w:rPr>
      </w:pPr>
      <w:r>
        <w:rPr>
          <w:rFonts w:ascii="Book Antiqua" w:eastAsia="Times New Roman" w:hAnsi="Book Antiqua" w:cs="Helvetica"/>
        </w:rPr>
        <w:t>Federal funding sources should be acknowledged in all publications related to the grant project, with the identification of the grant program and award number.</w:t>
      </w:r>
    </w:p>
    <w:p w:rsidR="009A0D6D" w:rsidRPr="001104AB" w:rsidRDefault="009A0D6D" w:rsidP="009A0D6D">
      <w:pPr>
        <w:pStyle w:val="ListParagraph"/>
        <w:shd w:val="clear" w:color="auto" w:fill="FFFFFF"/>
        <w:spacing w:before="120" w:after="0" w:line="240" w:lineRule="auto"/>
        <w:rPr>
          <w:rFonts w:ascii="Book Antiqua" w:eastAsia="Times New Roman" w:hAnsi="Book Antiqua" w:cs="Helvetica"/>
          <w:b/>
        </w:rPr>
      </w:pPr>
    </w:p>
    <w:p w:rsidR="005F5CEE" w:rsidRPr="001104AB" w:rsidRDefault="00EE1F36" w:rsidP="002230AF">
      <w:pPr>
        <w:pStyle w:val="ListParagraph"/>
        <w:shd w:val="clear" w:color="auto" w:fill="FFFFFF"/>
        <w:spacing w:after="120" w:line="240" w:lineRule="auto"/>
        <w:ind w:left="0"/>
        <w:rPr>
          <w:rFonts w:ascii="Book Antiqua" w:eastAsia="Times New Roman" w:hAnsi="Book Antiqua" w:cs="Helvetica"/>
        </w:rPr>
      </w:pPr>
      <w:r w:rsidRPr="001104AB">
        <w:rPr>
          <w:rFonts w:ascii="Book Antiqua" w:eastAsia="Times New Roman" w:hAnsi="Book Antiqua" w:cs="Helvetica"/>
          <w:b/>
        </w:rPr>
        <w:t>Intellectual Property</w:t>
      </w:r>
    </w:p>
    <w:p w:rsidR="005F5CEE" w:rsidRPr="001104AB" w:rsidRDefault="00EE1F36" w:rsidP="001A193A">
      <w:pPr>
        <w:pStyle w:val="ListParagraph"/>
        <w:numPr>
          <w:ilvl w:val="0"/>
          <w:numId w:val="20"/>
        </w:numPr>
        <w:spacing w:line="240" w:lineRule="auto"/>
        <w:rPr>
          <w:rStyle w:val="Hyperlink"/>
          <w:rFonts w:ascii="Book Antiqua" w:eastAsia="Times New Roman" w:hAnsi="Book Antiqua" w:cs="Helvetica"/>
          <w:b/>
          <w:color w:val="auto"/>
          <w:u w:val="none"/>
        </w:rPr>
      </w:pPr>
      <w:r w:rsidRPr="001104AB">
        <w:rPr>
          <w:rFonts w:ascii="Book Antiqua" w:eastAsia="Times New Roman" w:hAnsi="Book Antiqua" w:cs="Helvetica"/>
        </w:rPr>
        <w:t xml:space="preserve">It is the responsibility of the PI to comply with the </w:t>
      </w:r>
      <w:r w:rsidR="00862C12">
        <w:rPr>
          <w:rFonts w:ascii="Book Antiqua" w:eastAsia="Times New Roman" w:hAnsi="Book Antiqua" w:cs="Helvetica"/>
        </w:rPr>
        <w:t>University’s</w:t>
      </w:r>
      <w:r w:rsidRPr="001104AB">
        <w:rPr>
          <w:rFonts w:ascii="Book Antiqua" w:eastAsia="Times New Roman" w:hAnsi="Book Antiqua" w:cs="Helvetica"/>
        </w:rPr>
        <w:t> </w:t>
      </w:r>
      <w:hyperlink r:id="rId7" w:history="1">
        <w:r w:rsidRPr="001104AB">
          <w:rPr>
            <w:rStyle w:val="Hyperlink"/>
            <w:rFonts w:ascii="Book Antiqua" w:eastAsia="Times New Roman" w:hAnsi="Book Antiqua" w:cs="Helvetica"/>
            <w:bCs/>
            <w:color w:val="auto"/>
          </w:rPr>
          <w:t>Policy on Intellectual Property</w:t>
        </w:r>
      </w:hyperlink>
      <w:r w:rsidR="005F5CEE" w:rsidRPr="001104AB">
        <w:rPr>
          <w:rFonts w:ascii="Book Antiqua" w:eastAsia="Times New Roman" w:hAnsi="Book Antiqua" w:cs="Helvetica"/>
          <w:bCs/>
        </w:rPr>
        <w:t xml:space="preserve">. </w:t>
      </w:r>
    </w:p>
    <w:p w:rsidR="00705389" w:rsidRPr="001104AB" w:rsidRDefault="00705389" w:rsidP="00705389">
      <w:pPr>
        <w:pStyle w:val="ListParagraph"/>
        <w:spacing w:line="240" w:lineRule="auto"/>
        <w:rPr>
          <w:rFonts w:ascii="Book Antiqua" w:eastAsia="Times New Roman" w:hAnsi="Book Antiqua" w:cs="Helvetica"/>
          <w:b/>
        </w:rPr>
      </w:pPr>
    </w:p>
    <w:p w:rsidR="00B80CF3" w:rsidRPr="001104AB" w:rsidRDefault="00EE1F36" w:rsidP="002230AF">
      <w:pPr>
        <w:pStyle w:val="ListParagraph"/>
        <w:ind w:left="0"/>
        <w:rPr>
          <w:rFonts w:ascii="Book Antiqua" w:eastAsia="Times New Roman" w:hAnsi="Book Antiqua" w:cs="Helvetica"/>
        </w:rPr>
      </w:pPr>
      <w:r w:rsidRPr="001104AB">
        <w:rPr>
          <w:rFonts w:ascii="Book Antiqua" w:eastAsia="Times New Roman" w:hAnsi="Book Antiqua" w:cs="Helvetica"/>
          <w:b/>
        </w:rPr>
        <w:t>Records Management and Retention</w:t>
      </w:r>
    </w:p>
    <w:p w:rsidR="00AC45EC" w:rsidRPr="00AC45EC" w:rsidRDefault="0084423A" w:rsidP="00DD557E">
      <w:pPr>
        <w:pStyle w:val="ListParagraph"/>
        <w:numPr>
          <w:ilvl w:val="0"/>
          <w:numId w:val="27"/>
        </w:numPr>
        <w:spacing w:line="254" w:lineRule="auto"/>
      </w:pPr>
      <w:r w:rsidRPr="001104AB">
        <w:rPr>
          <w:rFonts w:ascii="Book Antiqua" w:eastAsia="Times New Roman" w:hAnsi="Book Antiqua" w:cs="Helvetica"/>
        </w:rPr>
        <w:t xml:space="preserve">It is the responsibility of the PI to comply with the federal guidelines </w:t>
      </w:r>
      <w:r w:rsidR="008B6CB4" w:rsidRPr="001104AB">
        <w:rPr>
          <w:rFonts w:ascii="Book Antiqua" w:eastAsia="Times New Roman" w:hAnsi="Book Antiqua" w:cs="Helvetica"/>
        </w:rPr>
        <w:t xml:space="preserve">at </w:t>
      </w:r>
      <w:hyperlink r:id="rId8" w:history="1">
        <w:r w:rsidR="008B6CB4" w:rsidRPr="001104AB">
          <w:rPr>
            <w:rStyle w:val="Hyperlink"/>
            <w:rFonts w:ascii="Book Antiqua" w:eastAsia="Times New Roman" w:hAnsi="Book Antiqua" w:cs="Helvetica"/>
            <w:color w:val="auto"/>
          </w:rPr>
          <w:t>2 CFR 200.333</w:t>
        </w:r>
      </w:hyperlink>
      <w:r w:rsidR="008B6CB4" w:rsidRPr="001104AB">
        <w:rPr>
          <w:rFonts w:ascii="Book Antiqua" w:eastAsia="Times New Roman" w:hAnsi="Book Antiqua" w:cs="Helvetica"/>
        </w:rPr>
        <w:t xml:space="preserve"> </w:t>
      </w:r>
      <w:r w:rsidRPr="001104AB">
        <w:rPr>
          <w:rFonts w:ascii="Book Antiqua" w:eastAsia="Times New Roman" w:hAnsi="Book Antiqua" w:cs="Helvetica"/>
        </w:rPr>
        <w:t xml:space="preserve">for recording, maintaining, and retaining research records </w:t>
      </w:r>
      <w:r w:rsidR="00AC45EC">
        <w:rPr>
          <w:rFonts w:ascii="Book Antiqua" w:eastAsia="Times New Roman" w:hAnsi="Book Antiqua" w:cs="Helvetica"/>
        </w:rPr>
        <w:t xml:space="preserve">collected or generated during the grant period and </w:t>
      </w:r>
      <w:r w:rsidRPr="001104AB">
        <w:rPr>
          <w:rFonts w:ascii="Book Antiqua" w:eastAsia="Times New Roman" w:hAnsi="Book Antiqua" w:cs="Helvetica"/>
        </w:rPr>
        <w:t>make those records available for grant monitoring and auditing purposes</w:t>
      </w:r>
      <w:r w:rsidR="00AC45EC">
        <w:rPr>
          <w:rFonts w:ascii="Book Antiqua" w:eastAsia="Times New Roman" w:hAnsi="Book Antiqua" w:cs="Helvetica"/>
        </w:rPr>
        <w:t xml:space="preserve"> to the </w:t>
      </w:r>
      <w:r w:rsidR="00862C12">
        <w:rPr>
          <w:rFonts w:ascii="Book Antiqua" w:eastAsia="Times New Roman" w:hAnsi="Book Antiqua" w:cs="Helvetica"/>
        </w:rPr>
        <w:t>University</w:t>
      </w:r>
      <w:r w:rsidRPr="001104AB">
        <w:rPr>
          <w:rFonts w:ascii="Book Antiqua" w:eastAsia="Times New Roman" w:hAnsi="Book Antiqua" w:cs="Helvetica"/>
        </w:rPr>
        <w:t xml:space="preserve">. </w:t>
      </w:r>
    </w:p>
    <w:p w:rsidR="000344CA" w:rsidRPr="001104AB" w:rsidRDefault="0084423A" w:rsidP="00DD557E">
      <w:pPr>
        <w:pStyle w:val="ListParagraph"/>
        <w:numPr>
          <w:ilvl w:val="0"/>
          <w:numId w:val="27"/>
        </w:numPr>
        <w:spacing w:line="254" w:lineRule="auto"/>
      </w:pPr>
      <w:r w:rsidRPr="001104AB">
        <w:rPr>
          <w:rFonts w:ascii="Book Antiqua" w:eastAsia="Times New Roman" w:hAnsi="Book Antiqua" w:cs="Helvetica"/>
        </w:rPr>
        <w:t xml:space="preserve">Research records include research data, materials, documents and information that relate to the administrative, financial, human resource management, reporting of research results, sponsored award applications, cost or pricing, or other management information that has been gathered or used in research activity. </w:t>
      </w:r>
    </w:p>
    <w:p w:rsidR="001F2435" w:rsidRPr="001104AB" w:rsidRDefault="00A052D2" w:rsidP="00DD557E">
      <w:pPr>
        <w:pStyle w:val="ListParagraph"/>
        <w:numPr>
          <w:ilvl w:val="0"/>
          <w:numId w:val="27"/>
        </w:numPr>
        <w:spacing w:line="254" w:lineRule="auto"/>
      </w:pPr>
      <w:r w:rsidRPr="001104AB">
        <w:rPr>
          <w:rFonts w:ascii="Book Antiqua" w:eastAsia="Times New Roman" w:hAnsi="Book Antiqua" w:cs="Helvetica"/>
        </w:rPr>
        <w:t>Records should be retained for three years from the date of submission of the final expenditure report</w:t>
      </w:r>
      <w:r w:rsidR="00AC45EC">
        <w:rPr>
          <w:rFonts w:ascii="Book Antiqua" w:eastAsia="Times New Roman" w:hAnsi="Book Antiqua" w:cs="Helvetica"/>
        </w:rPr>
        <w:t xml:space="preserve"> or as required by the sponsor</w:t>
      </w:r>
      <w:r w:rsidRPr="001104AB">
        <w:rPr>
          <w:rFonts w:ascii="Book Antiqua" w:eastAsia="Times New Roman" w:hAnsi="Book Antiqua" w:cs="Helvetica"/>
        </w:rPr>
        <w:t xml:space="preserve">. Exceptions, including records for property </w:t>
      </w:r>
      <w:r w:rsidRPr="001104AB">
        <w:rPr>
          <w:rFonts w:ascii="Book Antiqua" w:eastAsia="Times New Roman" w:hAnsi="Book Antiqua" w:cs="Helvetica"/>
        </w:rPr>
        <w:lastRenderedPageBreak/>
        <w:t xml:space="preserve">and equipment acquired with Federal funds, can be found in the Uniform Guidance at </w:t>
      </w:r>
      <w:hyperlink r:id="rId9" w:history="1">
        <w:r w:rsidR="00CB2890" w:rsidRPr="001104AB">
          <w:rPr>
            <w:rStyle w:val="Hyperlink"/>
            <w:rFonts w:ascii="Book Antiqua" w:eastAsia="Times New Roman" w:hAnsi="Book Antiqua" w:cs="Helvetica"/>
            <w:color w:val="auto"/>
          </w:rPr>
          <w:t xml:space="preserve">2 CFR </w:t>
        </w:r>
        <w:r w:rsidRPr="001104AB">
          <w:rPr>
            <w:rStyle w:val="Hyperlink"/>
            <w:rFonts w:ascii="Book Antiqua" w:hAnsi="Book Antiqua"/>
            <w:color w:val="auto"/>
          </w:rPr>
          <w:t>200.333</w:t>
        </w:r>
      </w:hyperlink>
      <w:r w:rsidRPr="001104AB">
        <w:rPr>
          <w:rFonts w:ascii="Book Antiqua" w:hAnsi="Book Antiqua"/>
        </w:rPr>
        <w:t>.</w:t>
      </w:r>
    </w:p>
    <w:p w:rsidR="00781553" w:rsidRDefault="00862C12" w:rsidP="002230AF">
      <w:pPr>
        <w:pStyle w:val="NoSpacing"/>
        <w:rPr>
          <w:b/>
          <w:sz w:val="22"/>
          <w:szCs w:val="22"/>
        </w:rPr>
      </w:pPr>
      <w:r>
        <w:rPr>
          <w:b/>
          <w:sz w:val="22"/>
          <w:szCs w:val="22"/>
        </w:rPr>
        <w:br/>
      </w:r>
      <w:r>
        <w:rPr>
          <w:b/>
          <w:sz w:val="22"/>
          <w:szCs w:val="22"/>
        </w:rPr>
        <w:br/>
      </w:r>
      <w:r w:rsidR="00781553">
        <w:rPr>
          <w:b/>
          <w:sz w:val="22"/>
          <w:szCs w:val="22"/>
        </w:rPr>
        <w:t>Foreign Influences</w:t>
      </w:r>
    </w:p>
    <w:p w:rsidR="00781553" w:rsidRPr="00781553" w:rsidRDefault="00781553" w:rsidP="00781553">
      <w:pPr>
        <w:pStyle w:val="NoSpacing"/>
        <w:numPr>
          <w:ilvl w:val="0"/>
          <w:numId w:val="31"/>
        </w:numPr>
        <w:rPr>
          <w:sz w:val="22"/>
          <w:szCs w:val="22"/>
        </w:rPr>
      </w:pPr>
      <w:r w:rsidRPr="00781553">
        <w:rPr>
          <w:sz w:val="22"/>
          <w:szCs w:val="22"/>
        </w:rPr>
        <w:t xml:space="preserve">It is the responsibility of the PI </w:t>
      </w:r>
      <w:r w:rsidR="00D02FEB">
        <w:rPr>
          <w:sz w:val="22"/>
          <w:szCs w:val="22"/>
        </w:rPr>
        <w:t xml:space="preserve">and Co-PIs </w:t>
      </w:r>
      <w:r w:rsidRPr="00781553">
        <w:rPr>
          <w:sz w:val="22"/>
          <w:szCs w:val="22"/>
        </w:rPr>
        <w:t>to disclose any foreign influences</w:t>
      </w:r>
      <w:r>
        <w:rPr>
          <w:sz w:val="22"/>
          <w:szCs w:val="22"/>
        </w:rPr>
        <w:t xml:space="preserve"> connected to their research to the Office of Sponsored Programs</w:t>
      </w:r>
      <w:r w:rsidR="00862C12">
        <w:rPr>
          <w:sz w:val="22"/>
          <w:szCs w:val="22"/>
        </w:rPr>
        <w:t xml:space="preserve"> and Foundation Relations</w:t>
      </w:r>
      <w:r>
        <w:rPr>
          <w:sz w:val="22"/>
          <w:szCs w:val="22"/>
        </w:rPr>
        <w:t xml:space="preserve">.  This may </w:t>
      </w:r>
      <w:r w:rsidR="00E326C4">
        <w:rPr>
          <w:sz w:val="22"/>
          <w:szCs w:val="22"/>
        </w:rPr>
        <w:t>include foreign research grants;</w:t>
      </w:r>
      <w:r>
        <w:rPr>
          <w:sz w:val="22"/>
          <w:szCs w:val="22"/>
        </w:rPr>
        <w:t xml:space="preserve"> intern</w:t>
      </w:r>
      <w:r w:rsidR="00E326C4">
        <w:rPr>
          <w:sz w:val="22"/>
          <w:szCs w:val="22"/>
        </w:rPr>
        <w:t>ational employment arrangements;</w:t>
      </w:r>
      <w:r>
        <w:rPr>
          <w:sz w:val="22"/>
          <w:szCs w:val="22"/>
        </w:rPr>
        <w:t xml:space="preserve"> and</w:t>
      </w:r>
      <w:r w:rsidR="005206F5">
        <w:rPr>
          <w:sz w:val="22"/>
          <w:szCs w:val="22"/>
        </w:rPr>
        <w:t xml:space="preserve"> affiliations with</w:t>
      </w:r>
      <w:r>
        <w:rPr>
          <w:sz w:val="22"/>
          <w:szCs w:val="22"/>
        </w:rPr>
        <w:t xml:space="preserve"> researchers</w:t>
      </w:r>
      <w:r w:rsidR="00E326C4">
        <w:rPr>
          <w:sz w:val="22"/>
          <w:szCs w:val="22"/>
        </w:rPr>
        <w:t>,</w:t>
      </w:r>
      <w:r>
        <w:rPr>
          <w:sz w:val="22"/>
          <w:szCs w:val="22"/>
        </w:rPr>
        <w:t xml:space="preserve"> students and employees of foreign entities.</w:t>
      </w:r>
    </w:p>
    <w:p w:rsidR="00781553" w:rsidRDefault="00781553" w:rsidP="002230AF">
      <w:pPr>
        <w:pStyle w:val="NoSpacing"/>
        <w:rPr>
          <w:b/>
          <w:sz w:val="22"/>
          <w:szCs w:val="22"/>
        </w:rPr>
      </w:pPr>
    </w:p>
    <w:p w:rsidR="00B83082" w:rsidRPr="001104AB" w:rsidRDefault="00BC39AE" w:rsidP="002230AF">
      <w:pPr>
        <w:pStyle w:val="NoSpacing"/>
        <w:rPr>
          <w:b/>
          <w:sz w:val="22"/>
          <w:szCs w:val="22"/>
        </w:rPr>
      </w:pPr>
      <w:r w:rsidRPr="001104AB">
        <w:rPr>
          <w:b/>
          <w:sz w:val="22"/>
          <w:szCs w:val="22"/>
        </w:rPr>
        <w:t>I agree to the responsibilities</w:t>
      </w:r>
      <w:r w:rsidR="005F5CEE" w:rsidRPr="001104AB">
        <w:rPr>
          <w:b/>
          <w:sz w:val="22"/>
          <w:szCs w:val="22"/>
        </w:rPr>
        <w:t xml:space="preserve"> described in this document. </w:t>
      </w:r>
      <w:r w:rsidR="00B83082" w:rsidRPr="001104AB">
        <w:rPr>
          <w:b/>
          <w:sz w:val="22"/>
          <w:szCs w:val="22"/>
        </w:rPr>
        <w:t>I understand that I may not be able to access grant funds unless I am in compliance with all policies and procedures.</w:t>
      </w:r>
    </w:p>
    <w:p w:rsidR="00B83082" w:rsidRPr="001104AB" w:rsidRDefault="00B83082" w:rsidP="002230AF">
      <w:pPr>
        <w:pStyle w:val="NoSpacing"/>
        <w:rPr>
          <w:b/>
          <w:sz w:val="22"/>
          <w:szCs w:val="22"/>
        </w:rPr>
      </w:pPr>
    </w:p>
    <w:p w:rsidR="007C759A" w:rsidRPr="001104AB" w:rsidRDefault="00FD1950" w:rsidP="002230AF">
      <w:pPr>
        <w:pStyle w:val="NoSpacing"/>
        <w:rPr>
          <w:b/>
          <w:sz w:val="22"/>
          <w:szCs w:val="22"/>
        </w:rPr>
      </w:pPr>
      <w:r w:rsidRPr="001104AB">
        <w:rPr>
          <w:b/>
          <w:sz w:val="22"/>
          <w:szCs w:val="22"/>
        </w:rPr>
        <w:t>PI/PD Name _______________________________</w:t>
      </w:r>
      <w:r w:rsidR="005F5CEE" w:rsidRPr="001104AB">
        <w:rPr>
          <w:b/>
          <w:sz w:val="22"/>
          <w:szCs w:val="22"/>
        </w:rPr>
        <w:t>___</w:t>
      </w:r>
      <w:r w:rsidRPr="001104AB">
        <w:rPr>
          <w:b/>
          <w:sz w:val="22"/>
          <w:szCs w:val="22"/>
        </w:rPr>
        <w:t>_____</w:t>
      </w:r>
      <w:r w:rsidRPr="001104AB">
        <w:rPr>
          <w:b/>
          <w:sz w:val="22"/>
          <w:szCs w:val="22"/>
        </w:rPr>
        <w:tab/>
        <w:t>Date _______</w:t>
      </w:r>
      <w:r w:rsidR="005F5CEE" w:rsidRPr="001104AB">
        <w:rPr>
          <w:b/>
          <w:sz w:val="22"/>
          <w:szCs w:val="22"/>
        </w:rPr>
        <w:t>____</w:t>
      </w:r>
      <w:r w:rsidRPr="001104AB">
        <w:rPr>
          <w:b/>
          <w:sz w:val="22"/>
          <w:szCs w:val="22"/>
        </w:rPr>
        <w:t>___</w:t>
      </w:r>
    </w:p>
    <w:p w:rsidR="005F5CEE" w:rsidRPr="001104AB" w:rsidRDefault="005F5CEE" w:rsidP="002230AF">
      <w:pPr>
        <w:pStyle w:val="NoSpacing"/>
        <w:rPr>
          <w:b/>
          <w:sz w:val="22"/>
          <w:szCs w:val="22"/>
        </w:rPr>
      </w:pPr>
    </w:p>
    <w:p w:rsidR="00745423" w:rsidRDefault="00FD1950" w:rsidP="00745423">
      <w:pPr>
        <w:pStyle w:val="NoSpacing"/>
        <w:rPr>
          <w:b/>
          <w:sz w:val="22"/>
          <w:szCs w:val="22"/>
        </w:rPr>
      </w:pPr>
      <w:r w:rsidRPr="001104AB">
        <w:rPr>
          <w:b/>
          <w:sz w:val="22"/>
          <w:szCs w:val="22"/>
        </w:rPr>
        <w:t>Signature ______________________________________</w:t>
      </w:r>
    </w:p>
    <w:p w:rsidR="00745423" w:rsidRDefault="00745423" w:rsidP="00745423">
      <w:pPr>
        <w:pStyle w:val="NoSpacing"/>
        <w:rPr>
          <w:b/>
          <w:sz w:val="22"/>
          <w:szCs w:val="22"/>
        </w:rPr>
      </w:pPr>
    </w:p>
    <w:p w:rsidR="00745423" w:rsidRDefault="00745423" w:rsidP="00745423">
      <w:pPr>
        <w:pStyle w:val="NoSpacing"/>
        <w:rPr>
          <w:b/>
          <w:sz w:val="22"/>
          <w:szCs w:val="22"/>
        </w:rPr>
      </w:pPr>
      <w:r>
        <w:rPr>
          <w:b/>
          <w:sz w:val="22"/>
          <w:szCs w:val="22"/>
        </w:rPr>
        <w:t>Funder/Agency _________________________________________________________</w:t>
      </w:r>
    </w:p>
    <w:p w:rsidR="00745423" w:rsidRDefault="00745423" w:rsidP="00745423">
      <w:pPr>
        <w:pStyle w:val="NoSpacing"/>
        <w:rPr>
          <w:b/>
          <w:sz w:val="22"/>
          <w:szCs w:val="22"/>
        </w:rPr>
      </w:pPr>
    </w:p>
    <w:p w:rsidR="00745423" w:rsidRPr="00745423" w:rsidRDefault="00745423" w:rsidP="00745423">
      <w:pPr>
        <w:pStyle w:val="NoSpacing"/>
        <w:rPr>
          <w:b/>
          <w:sz w:val="22"/>
          <w:szCs w:val="22"/>
        </w:rPr>
      </w:pPr>
      <w:r>
        <w:rPr>
          <w:b/>
          <w:sz w:val="22"/>
          <w:szCs w:val="22"/>
        </w:rPr>
        <w:t>Award Number _________________________________________________________</w:t>
      </w:r>
    </w:p>
    <w:p w:rsidR="0084423A" w:rsidRPr="001104AB" w:rsidRDefault="0084423A" w:rsidP="00A22EED">
      <w:pPr>
        <w:pStyle w:val="NoSpacing"/>
        <w:ind w:left="720"/>
        <w:rPr>
          <w:sz w:val="22"/>
          <w:szCs w:val="22"/>
        </w:rPr>
      </w:pPr>
    </w:p>
    <w:sectPr w:rsidR="0084423A" w:rsidRPr="001104AB" w:rsidSect="002230A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E98"/>
    <w:multiLevelType w:val="hybridMultilevel"/>
    <w:tmpl w:val="FABC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580D"/>
    <w:multiLevelType w:val="hybridMultilevel"/>
    <w:tmpl w:val="FA4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A7637"/>
    <w:multiLevelType w:val="hybridMultilevel"/>
    <w:tmpl w:val="6910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F1564"/>
    <w:multiLevelType w:val="hybridMultilevel"/>
    <w:tmpl w:val="BC86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26F7A"/>
    <w:multiLevelType w:val="hybridMultilevel"/>
    <w:tmpl w:val="E2DA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E7323"/>
    <w:multiLevelType w:val="hybridMultilevel"/>
    <w:tmpl w:val="22E651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101AF4"/>
    <w:multiLevelType w:val="hybridMultilevel"/>
    <w:tmpl w:val="8022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66068"/>
    <w:multiLevelType w:val="multilevel"/>
    <w:tmpl w:val="90B8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C7F7E"/>
    <w:multiLevelType w:val="hybridMultilevel"/>
    <w:tmpl w:val="C888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F642E"/>
    <w:multiLevelType w:val="multilevel"/>
    <w:tmpl w:val="009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A1771"/>
    <w:multiLevelType w:val="hybridMultilevel"/>
    <w:tmpl w:val="02B6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82706"/>
    <w:multiLevelType w:val="hybridMultilevel"/>
    <w:tmpl w:val="8DD8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A7BFF"/>
    <w:multiLevelType w:val="hybridMultilevel"/>
    <w:tmpl w:val="4B0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5C4"/>
    <w:multiLevelType w:val="hybridMultilevel"/>
    <w:tmpl w:val="4B7AE8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DA6F32"/>
    <w:multiLevelType w:val="hybridMultilevel"/>
    <w:tmpl w:val="FD347C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83DB0"/>
    <w:multiLevelType w:val="hybridMultilevel"/>
    <w:tmpl w:val="8BA2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86AAA"/>
    <w:multiLevelType w:val="multilevel"/>
    <w:tmpl w:val="990E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54A42"/>
    <w:multiLevelType w:val="hybridMultilevel"/>
    <w:tmpl w:val="63E4A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9207A"/>
    <w:multiLevelType w:val="hybridMultilevel"/>
    <w:tmpl w:val="1F8E04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45946"/>
    <w:multiLevelType w:val="hybridMultilevel"/>
    <w:tmpl w:val="617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56E3E"/>
    <w:multiLevelType w:val="multilevel"/>
    <w:tmpl w:val="0E7E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60B9E"/>
    <w:multiLevelType w:val="hybridMultilevel"/>
    <w:tmpl w:val="AB90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83B28"/>
    <w:multiLevelType w:val="multilevel"/>
    <w:tmpl w:val="4310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44991"/>
    <w:multiLevelType w:val="hybridMultilevel"/>
    <w:tmpl w:val="23586340"/>
    <w:lvl w:ilvl="0" w:tplc="F88C9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6F511E"/>
    <w:multiLevelType w:val="hybridMultilevel"/>
    <w:tmpl w:val="B11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F61DE"/>
    <w:multiLevelType w:val="hybridMultilevel"/>
    <w:tmpl w:val="C15222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62B01"/>
    <w:multiLevelType w:val="hybridMultilevel"/>
    <w:tmpl w:val="D4CACBE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D109BB"/>
    <w:multiLevelType w:val="hybridMultilevel"/>
    <w:tmpl w:val="7B3E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A7F3C"/>
    <w:multiLevelType w:val="hybridMultilevel"/>
    <w:tmpl w:val="FB0C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C32864"/>
    <w:multiLevelType w:val="hybridMultilevel"/>
    <w:tmpl w:val="553AF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4"/>
  </w:num>
  <w:num w:numId="3">
    <w:abstractNumId w:val="17"/>
  </w:num>
  <w:num w:numId="4">
    <w:abstractNumId w:val="25"/>
  </w:num>
  <w:num w:numId="5">
    <w:abstractNumId w:val="23"/>
  </w:num>
  <w:num w:numId="6">
    <w:abstractNumId w:val="7"/>
  </w:num>
  <w:num w:numId="7">
    <w:abstractNumId w:val="22"/>
  </w:num>
  <w:num w:numId="8">
    <w:abstractNumId w:val="16"/>
  </w:num>
  <w:num w:numId="9">
    <w:abstractNumId w:val="9"/>
  </w:num>
  <w:num w:numId="10">
    <w:abstractNumId w:val="29"/>
  </w:num>
  <w:num w:numId="11">
    <w:abstractNumId w:val="26"/>
  </w:num>
  <w:num w:numId="12">
    <w:abstractNumId w:val="5"/>
  </w:num>
  <w:num w:numId="13">
    <w:abstractNumId w:val="13"/>
  </w:num>
  <w:num w:numId="14">
    <w:abstractNumId w:val="18"/>
  </w:num>
  <w:num w:numId="15">
    <w:abstractNumId w:val="28"/>
  </w:num>
  <w:num w:numId="16">
    <w:abstractNumId w:val="1"/>
  </w:num>
  <w:num w:numId="17">
    <w:abstractNumId w:val="8"/>
  </w:num>
  <w:num w:numId="18">
    <w:abstractNumId w:val="27"/>
  </w:num>
  <w:num w:numId="19">
    <w:abstractNumId w:val="12"/>
  </w:num>
  <w:num w:numId="20">
    <w:abstractNumId w:val="2"/>
  </w:num>
  <w:num w:numId="21">
    <w:abstractNumId w:val="19"/>
  </w:num>
  <w:num w:numId="22">
    <w:abstractNumId w:val="6"/>
  </w:num>
  <w:num w:numId="23">
    <w:abstractNumId w:val="15"/>
  </w:num>
  <w:num w:numId="24">
    <w:abstractNumId w:val="4"/>
  </w:num>
  <w:num w:numId="25">
    <w:abstractNumId w:val="20"/>
  </w:num>
  <w:num w:numId="26">
    <w:abstractNumId w:val="10"/>
  </w:num>
  <w:num w:numId="27">
    <w:abstractNumId w:val="2"/>
  </w:num>
  <w:num w:numId="28">
    <w:abstractNumId w:val="0"/>
  </w:num>
  <w:num w:numId="29">
    <w:abstractNumId w:val="0"/>
  </w:num>
  <w:num w:numId="30">
    <w:abstractNumId w:val="21"/>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ocumentProtection w:edit="comment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52"/>
    <w:rsid w:val="0001630F"/>
    <w:rsid w:val="00021EF3"/>
    <w:rsid w:val="00022552"/>
    <w:rsid w:val="000344CA"/>
    <w:rsid w:val="00046E1D"/>
    <w:rsid w:val="00057641"/>
    <w:rsid w:val="000764D3"/>
    <w:rsid w:val="000B2DC5"/>
    <w:rsid w:val="000B604A"/>
    <w:rsid w:val="000B7CAF"/>
    <w:rsid w:val="000D3625"/>
    <w:rsid w:val="000E69D2"/>
    <w:rsid w:val="000F7F26"/>
    <w:rsid w:val="001004C1"/>
    <w:rsid w:val="001006DE"/>
    <w:rsid w:val="00105DA9"/>
    <w:rsid w:val="001061CB"/>
    <w:rsid w:val="001104AB"/>
    <w:rsid w:val="001336FB"/>
    <w:rsid w:val="00145397"/>
    <w:rsid w:val="00151CCB"/>
    <w:rsid w:val="00182A52"/>
    <w:rsid w:val="001835B8"/>
    <w:rsid w:val="001F2435"/>
    <w:rsid w:val="001F7417"/>
    <w:rsid w:val="002230AF"/>
    <w:rsid w:val="002309A6"/>
    <w:rsid w:val="00231F0D"/>
    <w:rsid w:val="00232E12"/>
    <w:rsid w:val="00293106"/>
    <w:rsid w:val="002B7941"/>
    <w:rsid w:val="00310E7D"/>
    <w:rsid w:val="003415AC"/>
    <w:rsid w:val="003457F2"/>
    <w:rsid w:val="00363D50"/>
    <w:rsid w:val="00364642"/>
    <w:rsid w:val="003816FD"/>
    <w:rsid w:val="003931AF"/>
    <w:rsid w:val="003961F7"/>
    <w:rsid w:val="003B7352"/>
    <w:rsid w:val="004107FB"/>
    <w:rsid w:val="0042012E"/>
    <w:rsid w:val="004473FE"/>
    <w:rsid w:val="00472CC8"/>
    <w:rsid w:val="00485FC3"/>
    <w:rsid w:val="0049372F"/>
    <w:rsid w:val="004A08BB"/>
    <w:rsid w:val="004B791E"/>
    <w:rsid w:val="004E3467"/>
    <w:rsid w:val="005206F5"/>
    <w:rsid w:val="0052332F"/>
    <w:rsid w:val="00566211"/>
    <w:rsid w:val="005719D6"/>
    <w:rsid w:val="005D7775"/>
    <w:rsid w:val="005E0F23"/>
    <w:rsid w:val="005F5CEE"/>
    <w:rsid w:val="006059CF"/>
    <w:rsid w:val="00616AB8"/>
    <w:rsid w:val="00640E08"/>
    <w:rsid w:val="006A4544"/>
    <w:rsid w:val="006E20AD"/>
    <w:rsid w:val="006F39BC"/>
    <w:rsid w:val="00700CED"/>
    <w:rsid w:val="00705389"/>
    <w:rsid w:val="00737963"/>
    <w:rsid w:val="00745423"/>
    <w:rsid w:val="00764B13"/>
    <w:rsid w:val="0077751F"/>
    <w:rsid w:val="00781553"/>
    <w:rsid w:val="007B439A"/>
    <w:rsid w:val="007C759A"/>
    <w:rsid w:val="007E7AF7"/>
    <w:rsid w:val="007F1EA1"/>
    <w:rsid w:val="00806349"/>
    <w:rsid w:val="008068CE"/>
    <w:rsid w:val="00814107"/>
    <w:rsid w:val="0084423A"/>
    <w:rsid w:val="00846A52"/>
    <w:rsid w:val="00853D2C"/>
    <w:rsid w:val="00862C12"/>
    <w:rsid w:val="00880E83"/>
    <w:rsid w:val="00884B1E"/>
    <w:rsid w:val="00890B5A"/>
    <w:rsid w:val="008A7F24"/>
    <w:rsid w:val="008B52A9"/>
    <w:rsid w:val="008B6CB4"/>
    <w:rsid w:val="0094295C"/>
    <w:rsid w:val="009928F9"/>
    <w:rsid w:val="009A0D6D"/>
    <w:rsid w:val="009B2C0A"/>
    <w:rsid w:val="009E415C"/>
    <w:rsid w:val="00A052D2"/>
    <w:rsid w:val="00A12733"/>
    <w:rsid w:val="00A22EED"/>
    <w:rsid w:val="00A357D9"/>
    <w:rsid w:val="00A36EFB"/>
    <w:rsid w:val="00A70493"/>
    <w:rsid w:val="00AB069F"/>
    <w:rsid w:val="00AB74A5"/>
    <w:rsid w:val="00AC45EC"/>
    <w:rsid w:val="00AC6BE8"/>
    <w:rsid w:val="00AE179F"/>
    <w:rsid w:val="00B27899"/>
    <w:rsid w:val="00B347B9"/>
    <w:rsid w:val="00B72BB5"/>
    <w:rsid w:val="00B80CF3"/>
    <w:rsid w:val="00B83082"/>
    <w:rsid w:val="00B877CF"/>
    <w:rsid w:val="00B93E45"/>
    <w:rsid w:val="00BA74D4"/>
    <w:rsid w:val="00BC39AE"/>
    <w:rsid w:val="00BC54DE"/>
    <w:rsid w:val="00BE71C2"/>
    <w:rsid w:val="00BF0E78"/>
    <w:rsid w:val="00BF4B35"/>
    <w:rsid w:val="00C01F8B"/>
    <w:rsid w:val="00C5796D"/>
    <w:rsid w:val="00C8267A"/>
    <w:rsid w:val="00CA2596"/>
    <w:rsid w:val="00CB2890"/>
    <w:rsid w:val="00CE3035"/>
    <w:rsid w:val="00CE3C55"/>
    <w:rsid w:val="00CF3387"/>
    <w:rsid w:val="00D000BE"/>
    <w:rsid w:val="00D0071D"/>
    <w:rsid w:val="00D01D0B"/>
    <w:rsid w:val="00D02FEB"/>
    <w:rsid w:val="00D45B8A"/>
    <w:rsid w:val="00D95DD6"/>
    <w:rsid w:val="00DA2E86"/>
    <w:rsid w:val="00DC6C8F"/>
    <w:rsid w:val="00DD16D0"/>
    <w:rsid w:val="00DE0ACF"/>
    <w:rsid w:val="00DE0E9D"/>
    <w:rsid w:val="00E0479E"/>
    <w:rsid w:val="00E205E3"/>
    <w:rsid w:val="00E30856"/>
    <w:rsid w:val="00E326C4"/>
    <w:rsid w:val="00E34079"/>
    <w:rsid w:val="00E43B3E"/>
    <w:rsid w:val="00E71E5A"/>
    <w:rsid w:val="00E75984"/>
    <w:rsid w:val="00EC1C0B"/>
    <w:rsid w:val="00ED605C"/>
    <w:rsid w:val="00EE1F36"/>
    <w:rsid w:val="00EE4345"/>
    <w:rsid w:val="00F07C4E"/>
    <w:rsid w:val="00F33D3E"/>
    <w:rsid w:val="00F34C93"/>
    <w:rsid w:val="00FA1D44"/>
    <w:rsid w:val="00FD1950"/>
    <w:rsid w:val="00FE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077C"/>
  <w15:chartTrackingRefBased/>
  <w15:docId w15:val="{513E79AE-E16D-470B-8629-134727CD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04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CE30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F26"/>
    <w:pPr>
      <w:spacing w:after="0" w:line="240" w:lineRule="auto"/>
    </w:pPr>
    <w:rPr>
      <w:rFonts w:ascii="Book Antiqua" w:hAnsi="Book Antiqua" w:cs="Times New Roman"/>
      <w:sz w:val="24"/>
      <w:szCs w:val="24"/>
    </w:rPr>
  </w:style>
  <w:style w:type="table" w:styleId="TableGrid">
    <w:name w:val="Table Grid"/>
    <w:basedOn w:val="TableNormal"/>
    <w:uiPriority w:val="39"/>
    <w:rsid w:val="00C57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CC8"/>
    <w:pPr>
      <w:ind w:left="720"/>
      <w:contextualSpacing/>
    </w:pPr>
  </w:style>
  <w:style w:type="paragraph" w:styleId="BalloonText">
    <w:name w:val="Balloon Text"/>
    <w:basedOn w:val="Normal"/>
    <w:link w:val="BalloonTextChar"/>
    <w:uiPriority w:val="99"/>
    <w:semiHidden/>
    <w:unhideWhenUsed/>
    <w:rsid w:val="00D00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71D"/>
    <w:rPr>
      <w:rFonts w:ascii="Segoe UI" w:hAnsi="Segoe UI" w:cs="Segoe UI"/>
      <w:sz w:val="18"/>
      <w:szCs w:val="18"/>
    </w:rPr>
  </w:style>
  <w:style w:type="character" w:customStyle="1" w:styleId="Heading4Char">
    <w:name w:val="Heading 4 Char"/>
    <w:basedOn w:val="DefaultParagraphFont"/>
    <w:link w:val="Heading4"/>
    <w:uiPriority w:val="9"/>
    <w:rsid w:val="00CE303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E3035"/>
    <w:rPr>
      <w:color w:val="0000FF"/>
      <w:u w:val="single"/>
    </w:rPr>
  </w:style>
  <w:style w:type="paragraph" w:styleId="NormalWeb">
    <w:name w:val="Normal (Web)"/>
    <w:basedOn w:val="Normal"/>
    <w:uiPriority w:val="99"/>
    <w:semiHidden/>
    <w:unhideWhenUsed/>
    <w:rsid w:val="00D000B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06349"/>
    <w:rPr>
      <w:sz w:val="16"/>
      <w:szCs w:val="16"/>
    </w:rPr>
  </w:style>
  <w:style w:type="paragraph" w:styleId="CommentText">
    <w:name w:val="annotation text"/>
    <w:basedOn w:val="Normal"/>
    <w:link w:val="CommentTextChar"/>
    <w:uiPriority w:val="99"/>
    <w:unhideWhenUsed/>
    <w:rsid w:val="00806349"/>
    <w:pPr>
      <w:spacing w:line="240" w:lineRule="auto"/>
    </w:pPr>
    <w:rPr>
      <w:sz w:val="20"/>
      <w:szCs w:val="20"/>
    </w:rPr>
  </w:style>
  <w:style w:type="character" w:customStyle="1" w:styleId="CommentTextChar">
    <w:name w:val="Comment Text Char"/>
    <w:basedOn w:val="DefaultParagraphFont"/>
    <w:link w:val="CommentText"/>
    <w:uiPriority w:val="99"/>
    <w:rsid w:val="00806349"/>
    <w:rPr>
      <w:sz w:val="20"/>
      <w:szCs w:val="20"/>
    </w:rPr>
  </w:style>
  <w:style w:type="paragraph" w:styleId="CommentSubject">
    <w:name w:val="annotation subject"/>
    <w:basedOn w:val="CommentText"/>
    <w:next w:val="CommentText"/>
    <w:link w:val="CommentSubjectChar"/>
    <w:uiPriority w:val="99"/>
    <w:semiHidden/>
    <w:unhideWhenUsed/>
    <w:rsid w:val="00806349"/>
    <w:rPr>
      <w:b/>
      <w:bCs/>
    </w:rPr>
  </w:style>
  <w:style w:type="character" w:customStyle="1" w:styleId="CommentSubjectChar">
    <w:name w:val="Comment Subject Char"/>
    <w:basedOn w:val="CommentTextChar"/>
    <w:link w:val="CommentSubject"/>
    <w:uiPriority w:val="99"/>
    <w:semiHidden/>
    <w:rsid w:val="00806349"/>
    <w:rPr>
      <w:b/>
      <w:bCs/>
      <w:sz w:val="20"/>
      <w:szCs w:val="20"/>
    </w:rPr>
  </w:style>
  <w:style w:type="character" w:customStyle="1" w:styleId="Heading1Char">
    <w:name w:val="Heading 1 Char"/>
    <w:basedOn w:val="DefaultParagraphFont"/>
    <w:link w:val="Heading1"/>
    <w:uiPriority w:val="9"/>
    <w:rsid w:val="00A70493"/>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EE4345"/>
    <w:pPr>
      <w:spacing w:after="0" w:line="240" w:lineRule="auto"/>
    </w:pPr>
  </w:style>
  <w:style w:type="character" w:styleId="Strong">
    <w:name w:val="Strong"/>
    <w:basedOn w:val="DefaultParagraphFont"/>
    <w:uiPriority w:val="22"/>
    <w:qFormat/>
    <w:rsid w:val="00E34079"/>
    <w:rPr>
      <w:b/>
      <w:bCs/>
    </w:rPr>
  </w:style>
  <w:style w:type="character" w:styleId="FollowedHyperlink">
    <w:name w:val="FollowedHyperlink"/>
    <w:basedOn w:val="DefaultParagraphFont"/>
    <w:uiPriority w:val="99"/>
    <w:semiHidden/>
    <w:unhideWhenUsed/>
    <w:rsid w:val="00705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7928">
      <w:bodyDiv w:val="1"/>
      <w:marLeft w:val="0"/>
      <w:marRight w:val="0"/>
      <w:marTop w:val="0"/>
      <w:marBottom w:val="0"/>
      <w:divBdr>
        <w:top w:val="none" w:sz="0" w:space="0" w:color="auto"/>
        <w:left w:val="none" w:sz="0" w:space="0" w:color="auto"/>
        <w:bottom w:val="none" w:sz="0" w:space="0" w:color="auto"/>
        <w:right w:val="none" w:sz="0" w:space="0" w:color="auto"/>
      </w:divBdr>
    </w:div>
    <w:div w:id="570041490">
      <w:bodyDiv w:val="1"/>
      <w:marLeft w:val="0"/>
      <w:marRight w:val="0"/>
      <w:marTop w:val="0"/>
      <w:marBottom w:val="0"/>
      <w:divBdr>
        <w:top w:val="none" w:sz="0" w:space="0" w:color="auto"/>
        <w:left w:val="none" w:sz="0" w:space="0" w:color="auto"/>
        <w:bottom w:val="none" w:sz="0" w:space="0" w:color="auto"/>
        <w:right w:val="none" w:sz="0" w:space="0" w:color="auto"/>
      </w:divBdr>
    </w:div>
    <w:div w:id="710233222">
      <w:bodyDiv w:val="1"/>
      <w:marLeft w:val="0"/>
      <w:marRight w:val="0"/>
      <w:marTop w:val="0"/>
      <w:marBottom w:val="0"/>
      <w:divBdr>
        <w:top w:val="none" w:sz="0" w:space="0" w:color="auto"/>
        <w:left w:val="none" w:sz="0" w:space="0" w:color="auto"/>
        <w:bottom w:val="none" w:sz="0" w:space="0" w:color="auto"/>
        <w:right w:val="none" w:sz="0" w:space="0" w:color="auto"/>
      </w:divBdr>
    </w:div>
    <w:div w:id="1513061477">
      <w:bodyDiv w:val="1"/>
      <w:marLeft w:val="0"/>
      <w:marRight w:val="0"/>
      <w:marTop w:val="0"/>
      <w:marBottom w:val="0"/>
      <w:divBdr>
        <w:top w:val="none" w:sz="0" w:space="0" w:color="auto"/>
        <w:left w:val="none" w:sz="0" w:space="0" w:color="auto"/>
        <w:bottom w:val="none" w:sz="0" w:space="0" w:color="auto"/>
        <w:right w:val="none" w:sz="0" w:space="0" w:color="auto"/>
      </w:divBdr>
    </w:div>
    <w:div w:id="1514875230">
      <w:bodyDiv w:val="1"/>
      <w:marLeft w:val="0"/>
      <w:marRight w:val="0"/>
      <w:marTop w:val="0"/>
      <w:marBottom w:val="0"/>
      <w:divBdr>
        <w:top w:val="none" w:sz="0" w:space="0" w:color="auto"/>
        <w:left w:val="none" w:sz="0" w:space="0" w:color="auto"/>
        <w:bottom w:val="none" w:sz="0" w:space="0" w:color="auto"/>
        <w:right w:val="none" w:sz="0" w:space="0" w:color="auto"/>
      </w:divBdr>
    </w:div>
    <w:div w:id="1542012529">
      <w:bodyDiv w:val="1"/>
      <w:marLeft w:val="0"/>
      <w:marRight w:val="0"/>
      <w:marTop w:val="0"/>
      <w:marBottom w:val="0"/>
      <w:divBdr>
        <w:top w:val="none" w:sz="0" w:space="0" w:color="auto"/>
        <w:left w:val="none" w:sz="0" w:space="0" w:color="auto"/>
        <w:bottom w:val="none" w:sz="0" w:space="0" w:color="auto"/>
        <w:right w:val="none" w:sz="0" w:space="0" w:color="auto"/>
      </w:divBdr>
    </w:div>
    <w:div w:id="1869828450">
      <w:bodyDiv w:val="1"/>
      <w:marLeft w:val="0"/>
      <w:marRight w:val="0"/>
      <w:marTop w:val="0"/>
      <w:marBottom w:val="0"/>
      <w:divBdr>
        <w:top w:val="none" w:sz="0" w:space="0" w:color="auto"/>
        <w:left w:val="none" w:sz="0" w:space="0" w:color="auto"/>
        <w:bottom w:val="none" w:sz="0" w:space="0" w:color="auto"/>
        <w:right w:val="none" w:sz="0" w:space="0" w:color="auto"/>
      </w:divBdr>
    </w:div>
    <w:div w:id="19438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node=se2.1.200_1333&amp;rgn=div8" TargetMode="External"/><Relationship Id="rId3" Type="http://schemas.openxmlformats.org/officeDocument/2006/relationships/settings" Target="settings.xml"/><Relationship Id="rId7" Type="http://schemas.openxmlformats.org/officeDocument/2006/relationships/hyperlink" Target="https://www.sjfc.edu/media/about/leadership/provost/documents/IntellectualProperty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ts.gov/web/grants/forms/post-award-reporting-forms.html"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fr.gov/cgi-bin/text-idx?node=se2.1.200_1333&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Temperley, Maya</dc:creator>
  <cp:keywords/>
  <dc:description/>
  <cp:lastModifiedBy>Clayton, Nicole A</cp:lastModifiedBy>
  <cp:revision>2</cp:revision>
  <cp:lastPrinted>2019-07-23T19:36:00Z</cp:lastPrinted>
  <dcterms:created xsi:type="dcterms:W3CDTF">2022-09-30T18:53:00Z</dcterms:created>
  <dcterms:modified xsi:type="dcterms:W3CDTF">2022-09-30T18:53:00Z</dcterms:modified>
</cp:coreProperties>
</file>